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50" w:type="dxa"/>
        <w:tblCellSpacing w:w="15" w:type="dxa"/>
        <w:tblCellMar>
          <w:top w:w="15" w:type="dxa"/>
          <w:left w:w="15" w:type="dxa"/>
          <w:bottom w:w="15" w:type="dxa"/>
          <w:right w:w="15" w:type="dxa"/>
        </w:tblCellMar>
        <w:tblLook w:val="04A0" w:firstRow="1" w:lastRow="0" w:firstColumn="1" w:lastColumn="0" w:noHBand="0" w:noVBand="1"/>
      </w:tblPr>
      <w:tblGrid>
        <w:gridCol w:w="435"/>
        <w:gridCol w:w="1815"/>
      </w:tblGrid>
      <w:tr w:rsidR="00611F9D" w:rsidRPr="00611F9D" w:rsidTr="00611F9D">
        <w:trPr>
          <w:tblCellSpacing w:w="15" w:type="dxa"/>
        </w:trPr>
        <w:tc>
          <w:tcPr>
            <w:tcW w:w="300" w:type="dxa"/>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bookmarkStart w:id="0" w:name="_GoBack"/>
            <w:bookmarkEnd w:id="0"/>
            <w:r w:rsidRPr="00611F9D">
              <w:rPr>
                <w:rFonts w:ascii="Times New Roman" w:eastAsia="Times New Roman" w:hAnsi="Times New Roman" w:cs="Times New Roman"/>
                <w:noProof/>
                <w:sz w:val="24"/>
                <w:szCs w:val="24"/>
                <w:lang w:eastAsia="tr-TR"/>
              </w:rPr>
              <w:drawing>
                <wp:inline distT="0" distB="0" distL="0" distR="0" wp14:anchorId="74372F29" wp14:editId="461EFB40">
                  <wp:extent cx="228600" cy="228600"/>
                  <wp:effectExtent l="0" t="0" r="0" b="0"/>
                  <wp:docPr id="1" name="Resim 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5" w:type="dxa"/>
              <w:left w:w="150" w:type="dxa"/>
              <w:bottom w:w="15" w:type="dxa"/>
              <w:right w:w="15" w:type="dxa"/>
            </w:tcMar>
            <w:vAlign w:val="center"/>
            <w:hideMark/>
          </w:tcPr>
          <w:p w:rsidR="00611F9D" w:rsidRPr="00611F9D" w:rsidRDefault="00012E2A" w:rsidP="00611F9D">
            <w:pPr>
              <w:spacing w:after="0" w:line="240" w:lineRule="auto"/>
              <w:rPr>
                <w:rFonts w:ascii="Times New Roman" w:eastAsia="Times New Roman" w:hAnsi="Times New Roman" w:cs="Times New Roman"/>
                <w:sz w:val="24"/>
                <w:szCs w:val="24"/>
                <w:lang w:eastAsia="tr-TR"/>
              </w:rPr>
            </w:pPr>
            <w:hyperlink r:id="rId6" w:history="1">
              <w:r w:rsidR="00611F9D" w:rsidRPr="00611F9D">
                <w:rPr>
                  <w:rFonts w:ascii="Times New Roman" w:eastAsia="Times New Roman" w:hAnsi="Times New Roman" w:cs="Times New Roman"/>
                  <w:b/>
                  <w:bCs/>
                  <w:color w:val="C5C6C7"/>
                  <w:sz w:val="26"/>
                  <w:szCs w:val="26"/>
                  <w:lang w:eastAsia="tr-TR"/>
                </w:rPr>
                <w:t>Oturum Aç</w:t>
              </w:r>
            </w:hyperlink>
          </w:p>
        </w:tc>
      </w:tr>
    </w:tbl>
    <w:p w:rsidR="00611F9D" w:rsidRPr="00611F9D" w:rsidRDefault="00611F9D" w:rsidP="00611F9D">
      <w:pPr>
        <w:shd w:val="clear" w:color="auto" w:fill="E6E6E6"/>
        <w:spacing w:after="100" w:line="300" w:lineRule="atLeast"/>
        <w:rPr>
          <w:rFonts w:ascii="Arial" w:eastAsia="Times New Roman" w:hAnsi="Arial" w:cs="Arial"/>
          <w:color w:val="1C283D"/>
          <w:sz w:val="15"/>
          <w:szCs w:val="15"/>
          <w:lang w:eastAsia="tr-TR"/>
        </w:rPr>
      </w:pPr>
      <w:r w:rsidRPr="00611F9D">
        <w:rPr>
          <w:rFonts w:ascii="Arial" w:eastAsia="Times New Roman" w:hAnsi="Arial" w:cs="Arial"/>
          <w:noProof/>
          <w:color w:val="800080"/>
          <w:sz w:val="15"/>
          <w:szCs w:val="15"/>
          <w:lang w:eastAsia="tr-TR"/>
        </w:rPr>
        <w:drawing>
          <wp:inline distT="0" distB="0" distL="0" distR="0" wp14:anchorId="04193913" wp14:editId="349BEE40">
            <wp:extent cx="9525" cy="9525"/>
            <wp:effectExtent l="0" t="0" r="0" b="0"/>
            <wp:docPr id="2" name="Resim 2" descr="Skip Navigation Link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p Navigation Link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14310" w:type="dxa"/>
        <w:tblCellSpacing w:w="0" w:type="dxa"/>
        <w:shd w:val="clear" w:color="auto" w:fill="6E7B96"/>
        <w:tblCellMar>
          <w:left w:w="0" w:type="dxa"/>
          <w:right w:w="0" w:type="dxa"/>
        </w:tblCellMar>
        <w:tblLook w:val="04A0" w:firstRow="1" w:lastRow="0" w:firstColumn="1" w:lastColumn="0" w:noHBand="0" w:noVBand="1"/>
      </w:tblPr>
      <w:tblGrid>
        <w:gridCol w:w="952"/>
        <w:gridCol w:w="218"/>
        <w:gridCol w:w="218"/>
        <w:gridCol w:w="1700"/>
        <w:gridCol w:w="218"/>
        <w:gridCol w:w="218"/>
        <w:gridCol w:w="1267"/>
        <w:gridCol w:w="218"/>
        <w:gridCol w:w="218"/>
        <w:gridCol w:w="2585"/>
        <w:gridCol w:w="218"/>
        <w:gridCol w:w="218"/>
        <w:gridCol w:w="817"/>
        <w:gridCol w:w="817"/>
        <w:gridCol w:w="56"/>
        <w:gridCol w:w="56"/>
        <w:gridCol w:w="1818"/>
        <w:gridCol w:w="56"/>
        <w:gridCol w:w="56"/>
        <w:gridCol w:w="1442"/>
        <w:gridCol w:w="56"/>
        <w:gridCol w:w="56"/>
        <w:gridCol w:w="776"/>
        <w:gridCol w:w="56"/>
      </w:tblGrid>
      <w:tr w:rsidR="00611F9D" w:rsidRPr="00611F9D" w:rsidTr="00611F9D">
        <w:trPr>
          <w:tblCellSpacing w:w="0" w:type="dxa"/>
        </w:trPr>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952"/>
            </w:tblGrid>
            <w:tr w:rsidR="00611F9D" w:rsidRPr="00611F9D">
              <w:trPr>
                <w:tblCellSpacing w:w="0" w:type="dxa"/>
              </w:trPr>
              <w:tc>
                <w:tcPr>
                  <w:tcW w:w="0" w:type="auto"/>
                  <w:noWrap/>
                  <w:vAlign w:val="center"/>
                  <w:hideMark/>
                </w:tcPr>
                <w:p w:rsidR="00611F9D" w:rsidRPr="00611F9D" w:rsidRDefault="00012E2A" w:rsidP="00611F9D">
                  <w:pPr>
                    <w:spacing w:after="0" w:line="240" w:lineRule="auto"/>
                    <w:rPr>
                      <w:rFonts w:ascii="Times New Roman" w:eastAsia="Times New Roman" w:hAnsi="Times New Roman" w:cs="Times New Roman"/>
                      <w:sz w:val="24"/>
                      <w:szCs w:val="24"/>
                      <w:lang w:eastAsia="tr-TR"/>
                    </w:rPr>
                  </w:pPr>
                  <w:hyperlink r:id="rId9" w:history="1">
                    <w:r w:rsidR="00611F9D" w:rsidRPr="00611F9D">
                      <w:rPr>
                        <w:rFonts w:ascii="Arial" w:eastAsia="Times New Roman" w:hAnsi="Arial" w:cs="Arial"/>
                        <w:color w:val="800080"/>
                        <w:sz w:val="15"/>
                        <w:szCs w:val="15"/>
                        <w:u w:val="single"/>
                        <w:lang w:eastAsia="tr-TR"/>
                      </w:rPr>
                      <w:t>ANASAYFA</w:t>
                    </w:r>
                  </w:hyperlink>
                </w:p>
              </w:tc>
            </w:tr>
          </w:tbl>
          <w:p w:rsidR="00611F9D" w:rsidRPr="00611F9D" w:rsidRDefault="00611F9D" w:rsidP="00611F9D">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325"/>
              <w:gridCol w:w="375"/>
            </w:tblGrid>
            <w:tr w:rsidR="00611F9D" w:rsidRPr="00611F9D">
              <w:trPr>
                <w:tblCellSpacing w:w="0" w:type="dxa"/>
              </w:trPr>
              <w:tc>
                <w:tcPr>
                  <w:tcW w:w="0" w:type="auto"/>
                  <w:noWrap/>
                  <w:vAlign w:val="center"/>
                  <w:hideMark/>
                </w:tcPr>
                <w:p w:rsidR="00611F9D" w:rsidRPr="00611F9D" w:rsidRDefault="00012E2A" w:rsidP="00611F9D">
                  <w:pPr>
                    <w:spacing w:after="0" w:line="240" w:lineRule="auto"/>
                    <w:rPr>
                      <w:rFonts w:ascii="Times New Roman" w:eastAsia="Times New Roman" w:hAnsi="Times New Roman" w:cs="Times New Roman"/>
                      <w:sz w:val="24"/>
                      <w:szCs w:val="24"/>
                      <w:lang w:eastAsia="tr-TR"/>
                    </w:rPr>
                  </w:pPr>
                  <w:hyperlink r:id="rId10" w:history="1">
                    <w:r w:rsidR="00611F9D" w:rsidRPr="00611F9D">
                      <w:rPr>
                        <w:rFonts w:ascii="Arial" w:eastAsia="Times New Roman" w:hAnsi="Arial" w:cs="Arial"/>
                        <w:color w:val="800080"/>
                        <w:sz w:val="15"/>
                        <w:szCs w:val="15"/>
                        <w:u w:val="single"/>
                        <w:lang w:eastAsia="tr-TR"/>
                      </w:rPr>
                      <w:t>MEVZUAT TÜRÜ</w:t>
                    </w:r>
                  </w:hyperlink>
                </w:p>
              </w:tc>
              <w:tc>
                <w:tcPr>
                  <w:tcW w:w="6" w:type="dxa"/>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noProof/>
                      <w:sz w:val="24"/>
                      <w:szCs w:val="24"/>
                      <w:lang w:eastAsia="tr-TR"/>
                    </w:rPr>
                    <w:drawing>
                      <wp:inline distT="0" distB="0" distL="0" distR="0" wp14:anchorId="56AF4712" wp14:editId="3571AB3D">
                        <wp:extent cx="142875" cy="142875"/>
                        <wp:effectExtent l="0" t="0" r="0" b="9525"/>
                        <wp:docPr id="3" name="Resim 3" descr="Expand MEVZUAT T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and MEVZUAT TÜR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611F9D" w:rsidRPr="00611F9D" w:rsidRDefault="00611F9D" w:rsidP="00611F9D">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267"/>
            </w:tblGrid>
            <w:tr w:rsidR="00611F9D" w:rsidRPr="00611F9D">
              <w:trPr>
                <w:tblCellSpacing w:w="0" w:type="dxa"/>
              </w:trPr>
              <w:tc>
                <w:tcPr>
                  <w:tcW w:w="0" w:type="auto"/>
                  <w:noWrap/>
                  <w:vAlign w:val="center"/>
                  <w:hideMark/>
                </w:tcPr>
                <w:p w:rsidR="00611F9D" w:rsidRPr="00611F9D" w:rsidRDefault="00012E2A" w:rsidP="00611F9D">
                  <w:pPr>
                    <w:spacing w:after="0" w:line="240" w:lineRule="auto"/>
                    <w:rPr>
                      <w:rFonts w:ascii="Times New Roman" w:eastAsia="Times New Roman" w:hAnsi="Times New Roman" w:cs="Times New Roman"/>
                      <w:sz w:val="24"/>
                      <w:szCs w:val="24"/>
                      <w:lang w:eastAsia="tr-TR"/>
                    </w:rPr>
                  </w:pPr>
                  <w:hyperlink r:id="rId12" w:history="1">
                    <w:r w:rsidR="00611F9D" w:rsidRPr="00611F9D">
                      <w:rPr>
                        <w:rFonts w:ascii="Arial" w:eastAsia="Times New Roman" w:hAnsi="Arial" w:cs="Arial"/>
                        <w:color w:val="800080"/>
                        <w:sz w:val="15"/>
                        <w:szCs w:val="15"/>
                        <w:u w:val="single"/>
                        <w:lang w:eastAsia="tr-TR"/>
                      </w:rPr>
                      <w:t>RESMİ GAZETE</w:t>
                    </w:r>
                  </w:hyperlink>
                </w:p>
              </w:tc>
            </w:tr>
          </w:tbl>
          <w:p w:rsidR="00611F9D" w:rsidRPr="00611F9D" w:rsidRDefault="00611F9D" w:rsidP="00611F9D">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210"/>
              <w:gridCol w:w="375"/>
            </w:tblGrid>
            <w:tr w:rsidR="00611F9D" w:rsidRPr="00611F9D">
              <w:trPr>
                <w:tblCellSpacing w:w="0" w:type="dxa"/>
              </w:trPr>
              <w:tc>
                <w:tcPr>
                  <w:tcW w:w="0" w:type="auto"/>
                  <w:noWrap/>
                  <w:vAlign w:val="center"/>
                  <w:hideMark/>
                </w:tcPr>
                <w:p w:rsidR="00611F9D" w:rsidRPr="00611F9D" w:rsidRDefault="00012E2A" w:rsidP="00611F9D">
                  <w:pPr>
                    <w:spacing w:after="0" w:line="240" w:lineRule="auto"/>
                    <w:rPr>
                      <w:rFonts w:ascii="Times New Roman" w:eastAsia="Times New Roman" w:hAnsi="Times New Roman" w:cs="Times New Roman"/>
                      <w:sz w:val="24"/>
                      <w:szCs w:val="24"/>
                      <w:lang w:eastAsia="tr-TR"/>
                    </w:rPr>
                  </w:pPr>
                  <w:hyperlink r:id="rId13" w:history="1">
                    <w:r w:rsidR="00611F9D" w:rsidRPr="00611F9D">
                      <w:rPr>
                        <w:rFonts w:ascii="Arial" w:eastAsia="Times New Roman" w:hAnsi="Arial" w:cs="Arial"/>
                        <w:color w:val="800080"/>
                        <w:sz w:val="15"/>
                        <w:szCs w:val="15"/>
                        <w:u w:val="single"/>
                        <w:lang w:eastAsia="tr-TR"/>
                      </w:rPr>
                      <w:t>SIK KULLANILAN KANUNLAR</w:t>
                    </w:r>
                  </w:hyperlink>
                </w:p>
              </w:tc>
              <w:tc>
                <w:tcPr>
                  <w:tcW w:w="6" w:type="dxa"/>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noProof/>
                      <w:sz w:val="24"/>
                      <w:szCs w:val="24"/>
                      <w:lang w:eastAsia="tr-TR"/>
                    </w:rPr>
                    <w:drawing>
                      <wp:inline distT="0" distB="0" distL="0" distR="0" wp14:anchorId="1D466E15" wp14:editId="355D1D72">
                        <wp:extent cx="142875" cy="142875"/>
                        <wp:effectExtent l="0" t="0" r="0" b="9525"/>
                        <wp:docPr id="4" name="Resim 4" descr="Expand SIK KULLANILAN KANUN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and SIK KULLANILAN KANUNL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611F9D" w:rsidRPr="00611F9D" w:rsidRDefault="00611F9D" w:rsidP="00611F9D">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0" w:type="auto"/>
            <w:gridSpan w:val="2"/>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634"/>
            </w:tblGrid>
            <w:tr w:rsidR="00611F9D" w:rsidRPr="00611F9D">
              <w:trPr>
                <w:tblCellSpacing w:w="0" w:type="dxa"/>
              </w:trPr>
              <w:tc>
                <w:tcPr>
                  <w:tcW w:w="0" w:type="auto"/>
                  <w:noWrap/>
                  <w:vAlign w:val="center"/>
                  <w:hideMark/>
                </w:tcPr>
                <w:p w:rsidR="00611F9D" w:rsidRPr="00611F9D" w:rsidRDefault="00012E2A" w:rsidP="00611F9D">
                  <w:pPr>
                    <w:spacing w:after="0" w:line="240" w:lineRule="auto"/>
                    <w:rPr>
                      <w:rFonts w:ascii="Times New Roman" w:eastAsia="Times New Roman" w:hAnsi="Times New Roman" w:cs="Times New Roman"/>
                      <w:sz w:val="24"/>
                      <w:szCs w:val="24"/>
                      <w:lang w:eastAsia="tr-TR"/>
                    </w:rPr>
                  </w:pPr>
                  <w:hyperlink r:id="rId14" w:history="1">
                    <w:r w:rsidR="00611F9D" w:rsidRPr="00611F9D">
                      <w:rPr>
                        <w:rFonts w:ascii="Arial" w:eastAsia="Times New Roman" w:hAnsi="Arial" w:cs="Arial"/>
                        <w:color w:val="800080"/>
                        <w:sz w:val="15"/>
                        <w:szCs w:val="15"/>
                        <w:u w:val="single"/>
                        <w:lang w:eastAsia="tr-TR"/>
                      </w:rPr>
                      <w:t>KANUNLAR FİHRİSTİ</w:t>
                    </w:r>
                  </w:hyperlink>
                </w:p>
              </w:tc>
            </w:tr>
          </w:tbl>
          <w:p w:rsidR="00611F9D" w:rsidRPr="00611F9D" w:rsidRDefault="00611F9D" w:rsidP="00611F9D">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443"/>
              <w:gridCol w:w="375"/>
            </w:tblGrid>
            <w:tr w:rsidR="00611F9D" w:rsidRPr="00611F9D">
              <w:trPr>
                <w:tblCellSpacing w:w="0" w:type="dxa"/>
              </w:trPr>
              <w:tc>
                <w:tcPr>
                  <w:tcW w:w="0" w:type="auto"/>
                  <w:noWrap/>
                  <w:vAlign w:val="center"/>
                  <w:hideMark/>
                </w:tcPr>
                <w:p w:rsidR="00611F9D" w:rsidRPr="00611F9D" w:rsidRDefault="00012E2A" w:rsidP="00611F9D">
                  <w:pPr>
                    <w:spacing w:after="0" w:line="240" w:lineRule="auto"/>
                    <w:rPr>
                      <w:rFonts w:ascii="Times New Roman" w:eastAsia="Times New Roman" w:hAnsi="Times New Roman" w:cs="Times New Roman"/>
                      <w:sz w:val="24"/>
                      <w:szCs w:val="24"/>
                      <w:lang w:eastAsia="tr-TR"/>
                    </w:rPr>
                  </w:pPr>
                  <w:hyperlink r:id="rId15" w:history="1">
                    <w:r w:rsidR="00611F9D" w:rsidRPr="00611F9D">
                      <w:rPr>
                        <w:rFonts w:ascii="Arial" w:eastAsia="Times New Roman" w:hAnsi="Arial" w:cs="Arial"/>
                        <w:color w:val="800080"/>
                        <w:sz w:val="15"/>
                        <w:szCs w:val="15"/>
                        <w:u w:val="single"/>
                        <w:lang w:eastAsia="tr-TR"/>
                      </w:rPr>
                      <w:t>FAYDALI LİNKLER</w:t>
                    </w:r>
                  </w:hyperlink>
                </w:p>
              </w:tc>
              <w:tc>
                <w:tcPr>
                  <w:tcW w:w="6" w:type="dxa"/>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noProof/>
                      <w:sz w:val="24"/>
                      <w:szCs w:val="24"/>
                      <w:lang w:eastAsia="tr-TR"/>
                    </w:rPr>
                    <w:drawing>
                      <wp:inline distT="0" distB="0" distL="0" distR="0" wp14:anchorId="31F9EEBA" wp14:editId="384EB82F">
                        <wp:extent cx="142875" cy="142875"/>
                        <wp:effectExtent l="0" t="0" r="0" b="9525"/>
                        <wp:docPr id="5" name="Resim 5" descr="Expand FAYDALI LİN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and FAYDALI LİNK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611F9D" w:rsidRPr="00611F9D" w:rsidRDefault="00611F9D" w:rsidP="00611F9D">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067"/>
              <w:gridCol w:w="375"/>
            </w:tblGrid>
            <w:tr w:rsidR="00611F9D" w:rsidRPr="00611F9D">
              <w:trPr>
                <w:tblCellSpacing w:w="0" w:type="dxa"/>
              </w:trPr>
              <w:tc>
                <w:tcPr>
                  <w:tcW w:w="0" w:type="auto"/>
                  <w:noWrap/>
                  <w:vAlign w:val="center"/>
                  <w:hideMark/>
                </w:tcPr>
                <w:p w:rsidR="00611F9D" w:rsidRPr="00611F9D" w:rsidRDefault="00012E2A" w:rsidP="00611F9D">
                  <w:pPr>
                    <w:spacing w:after="0" w:line="240" w:lineRule="auto"/>
                    <w:rPr>
                      <w:rFonts w:ascii="Times New Roman" w:eastAsia="Times New Roman" w:hAnsi="Times New Roman" w:cs="Times New Roman"/>
                      <w:sz w:val="24"/>
                      <w:szCs w:val="24"/>
                      <w:lang w:eastAsia="tr-TR"/>
                    </w:rPr>
                  </w:pPr>
                  <w:hyperlink r:id="rId16" w:history="1">
                    <w:r w:rsidR="00611F9D" w:rsidRPr="00611F9D">
                      <w:rPr>
                        <w:rFonts w:ascii="Arial" w:eastAsia="Times New Roman" w:hAnsi="Arial" w:cs="Arial"/>
                        <w:color w:val="800080"/>
                        <w:sz w:val="15"/>
                        <w:szCs w:val="15"/>
                        <w:u w:val="single"/>
                        <w:lang w:eastAsia="tr-TR"/>
                      </w:rPr>
                      <w:t>HAKKIMIZDA</w:t>
                    </w:r>
                  </w:hyperlink>
                </w:p>
              </w:tc>
              <w:tc>
                <w:tcPr>
                  <w:tcW w:w="6" w:type="dxa"/>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noProof/>
                      <w:sz w:val="24"/>
                      <w:szCs w:val="24"/>
                      <w:lang w:eastAsia="tr-TR"/>
                    </w:rPr>
                    <w:drawing>
                      <wp:inline distT="0" distB="0" distL="0" distR="0" wp14:anchorId="5C4819E7" wp14:editId="59CEB7D0">
                        <wp:extent cx="142875" cy="142875"/>
                        <wp:effectExtent l="0" t="0" r="0" b="9525"/>
                        <wp:docPr id="6" name="Resim 6" descr="Expand HAKKIMI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and HAKKIMIZ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611F9D" w:rsidRPr="00611F9D" w:rsidRDefault="00611F9D" w:rsidP="00611F9D">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776"/>
            </w:tblGrid>
            <w:tr w:rsidR="00611F9D" w:rsidRPr="00611F9D">
              <w:trPr>
                <w:tblCellSpacing w:w="0" w:type="dxa"/>
              </w:trPr>
              <w:tc>
                <w:tcPr>
                  <w:tcW w:w="0" w:type="auto"/>
                  <w:noWrap/>
                  <w:vAlign w:val="center"/>
                  <w:hideMark/>
                </w:tcPr>
                <w:p w:rsidR="00611F9D" w:rsidRPr="00611F9D" w:rsidRDefault="00012E2A" w:rsidP="00611F9D">
                  <w:pPr>
                    <w:spacing w:after="0" w:line="240" w:lineRule="auto"/>
                    <w:rPr>
                      <w:rFonts w:ascii="Times New Roman" w:eastAsia="Times New Roman" w:hAnsi="Times New Roman" w:cs="Times New Roman"/>
                      <w:sz w:val="24"/>
                      <w:szCs w:val="24"/>
                      <w:lang w:eastAsia="tr-TR"/>
                    </w:rPr>
                  </w:pPr>
                  <w:hyperlink r:id="rId17" w:history="1">
                    <w:r w:rsidR="00611F9D" w:rsidRPr="00611F9D">
                      <w:rPr>
                        <w:rFonts w:ascii="Arial" w:eastAsia="Times New Roman" w:hAnsi="Arial" w:cs="Arial"/>
                        <w:color w:val="800080"/>
                        <w:sz w:val="15"/>
                        <w:szCs w:val="15"/>
                        <w:u w:val="single"/>
                        <w:lang w:eastAsia="tr-TR"/>
                      </w:rPr>
                      <w:t>İLETİŞİM</w:t>
                    </w:r>
                  </w:hyperlink>
                </w:p>
              </w:tc>
            </w:tr>
          </w:tbl>
          <w:p w:rsidR="00611F9D" w:rsidRPr="00611F9D" w:rsidRDefault="00611F9D" w:rsidP="00611F9D">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r>
      <w:tr w:rsidR="00611F9D" w:rsidRPr="00611F9D" w:rsidTr="00611F9D">
        <w:tblPrEx>
          <w:shd w:val="clear" w:color="auto" w:fill="auto"/>
        </w:tblPrEx>
        <w:trPr>
          <w:gridAfter w:val="11"/>
          <w:wAfter w:w="5238" w:type="dxa"/>
          <w:trHeight w:val="31680"/>
          <w:tblCellSpacing w:w="0" w:type="dxa"/>
        </w:trPr>
        <w:tc>
          <w:tcPr>
            <w:tcW w:w="0" w:type="auto"/>
            <w:gridSpan w:val="13"/>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65"/>
            </w:tblGrid>
            <w:tr w:rsidR="00611F9D" w:rsidRPr="00611F9D">
              <w:trPr>
                <w:tblCellSpacing w:w="15" w:type="dxa"/>
              </w:trPr>
              <w:tc>
                <w:tcPr>
                  <w:tcW w:w="0" w:type="auto"/>
                  <w:shd w:val="clear" w:color="auto" w:fill="FFFFFF"/>
                  <w:vAlign w:val="center"/>
                  <w:hideMark/>
                </w:tcPr>
                <w:tbl>
                  <w:tblPr>
                    <w:tblW w:w="5000" w:type="pct"/>
                    <w:jc w:val="center"/>
                    <w:tblCellSpacing w:w="0" w:type="dxa"/>
                    <w:shd w:val="clear" w:color="auto" w:fill="6E7B96"/>
                    <w:tblCellMar>
                      <w:top w:w="15" w:type="dxa"/>
                      <w:left w:w="15" w:type="dxa"/>
                      <w:bottom w:w="15" w:type="dxa"/>
                      <w:right w:w="15" w:type="dxa"/>
                    </w:tblCellMar>
                    <w:tblLook w:val="04A0" w:firstRow="1" w:lastRow="0" w:firstColumn="1" w:lastColumn="0" w:noHBand="0" w:noVBand="1"/>
                  </w:tblPr>
                  <w:tblGrid>
                    <w:gridCol w:w="8975"/>
                  </w:tblGrid>
                  <w:tr w:rsidR="00611F9D" w:rsidRPr="00611F9D">
                    <w:trPr>
                      <w:tblCellSpacing w:w="0" w:type="dxa"/>
                      <w:jc w:val="center"/>
                    </w:trPr>
                    <w:tc>
                      <w:tcPr>
                        <w:tcW w:w="0" w:type="auto"/>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Lucida Sans Unicode" w:eastAsia="Times New Roman" w:hAnsi="Lucida Sans Unicode" w:cs="Lucida Sans Unicode"/>
                            <w:noProof/>
                            <w:color w:val="000000"/>
                            <w:sz w:val="15"/>
                            <w:szCs w:val="15"/>
                            <w:lang w:eastAsia="tr-TR"/>
                          </w:rPr>
                          <w:lastRenderedPageBreak/>
                          <w:drawing>
                            <wp:inline distT="0" distB="0" distL="0" distR="0" wp14:anchorId="5516A5EF" wp14:editId="5A5E2F6C">
                              <wp:extent cx="304800" cy="304800"/>
                              <wp:effectExtent l="0" t="0" r="0" b="0"/>
                              <wp:docPr id="7" name="Resim 7" descr="Yazdı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zdır">
                                        <a:hlinkClick r:id="rId13"/>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11F9D">
                          <w:rPr>
                            <w:rFonts w:ascii="Times New Roman" w:eastAsia="Times New Roman" w:hAnsi="Times New Roman" w:cs="Times New Roman"/>
                            <w:sz w:val="24"/>
                            <w:szCs w:val="24"/>
                            <w:lang w:eastAsia="tr-TR"/>
                          </w:rPr>
                          <w:t> </w:t>
                        </w:r>
                      </w:p>
                    </w:tc>
                  </w:tr>
                </w:tbl>
                <w:p w:rsidR="00611F9D" w:rsidRPr="00611F9D" w:rsidRDefault="00611F9D" w:rsidP="00611F9D">
                  <w:pPr>
                    <w:spacing w:after="0" w:line="240" w:lineRule="auto"/>
                    <w:jc w:val="center"/>
                    <w:rPr>
                      <w:rFonts w:ascii="Times New Roman" w:eastAsia="Times New Roman" w:hAnsi="Times New Roman" w:cs="Times New Roman"/>
                      <w:vanish/>
                      <w:sz w:val="24"/>
                      <w:szCs w:val="24"/>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75"/>
                  </w:tblGrid>
                  <w:tr w:rsidR="00611F9D" w:rsidRPr="00611F9D">
                    <w:trPr>
                      <w:tblCellSpacing w:w="15" w:type="dxa"/>
                      <w:jc w:val="center"/>
                    </w:trPr>
                    <w:tc>
                      <w:tcPr>
                        <w:tcW w:w="0" w:type="auto"/>
                        <w:vAlign w:val="center"/>
                        <w:hideMark/>
                      </w:tcPr>
                      <w:p w:rsidR="00611F9D" w:rsidRPr="00611F9D" w:rsidRDefault="00611F9D" w:rsidP="00611F9D">
                        <w:pPr>
                          <w:spacing w:after="24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Resmi Gazete Tarihi: 29.12.2012 Resmi Gazete Sayısı: 28512</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 SAĞLIĞI VE GÜVENLİĞİ HİZMETLERİ YÖNETMELİĞİ</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 </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BİRİNCİ BÖLÜM</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Amaç, Kapsam, Dayanak ve Tanımlar</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 </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Amaç</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 –</w:t>
                        </w:r>
                        <w:r w:rsidRPr="00611F9D">
                          <w:rPr>
                            <w:rFonts w:ascii="Calibri" w:eastAsia="Times New Roman" w:hAnsi="Calibri" w:cs="Calibri"/>
                            <w:lang w:eastAsia="tr-TR"/>
                          </w:rPr>
                          <w:t> (1) Bu Yönetmeliğin amacı; iş sağlığı ve güvenliği hizmetlerini yürütmek üzere kurulacak işyeri sağlık ve güvenlik birimlerinin kuruluşu ile ortak sağlık ve güvenlik birimlerinin yetkilendirilmeleri, yetki belgelerinin iptali, görev, yetki ve sorumlulukları ile çalışma usul ve esaslarını düzenlemektir.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Kapsam</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 –</w:t>
                        </w:r>
                        <w:r w:rsidRPr="00611F9D">
                          <w:rPr>
                            <w:rFonts w:ascii="Calibri" w:eastAsia="Times New Roman" w:hAnsi="Calibri" w:cs="Calibri"/>
                            <w:lang w:eastAsia="tr-TR"/>
                          </w:rPr>
                          <w:t> (1) Bu Yönetmelik, 20/6/2012 tarihli ve 6331 sayılı İş Sağlığı ve Güvenliği Kanunu kapsamında yer alan işyerlerini kapsar.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Dayanak</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3 –</w:t>
                        </w:r>
                        <w:r w:rsidRPr="00611F9D">
                          <w:rPr>
                            <w:rFonts w:ascii="Calibri" w:eastAsia="Times New Roman" w:hAnsi="Calibri" w:cs="Calibri"/>
                            <w:lang w:eastAsia="tr-TR"/>
                          </w:rPr>
                          <w:t> (1) Bu Yönetmelik; İş Sağlığı ve Güvenliği Kanununun 6 ncı, </w:t>
                        </w:r>
                        <w:r w:rsidRPr="00611F9D">
                          <w:rPr>
                            <w:rFonts w:ascii="Calibri" w:eastAsia="Times New Roman" w:hAnsi="Calibri" w:cs="Calibri"/>
                            <w:b/>
                            <w:bCs/>
                            <w:lang w:eastAsia="tr-TR"/>
                          </w:rPr>
                          <w:t>(Değişik ibare:RG-18/12/2014-29209) </w:t>
                        </w:r>
                        <w:r w:rsidRPr="00611F9D">
                          <w:rPr>
                            <w:rFonts w:ascii="Calibri" w:eastAsia="Times New Roman" w:hAnsi="Calibri" w:cs="Calibri"/>
                            <w:u w:val="single"/>
                            <w:lang w:eastAsia="tr-TR"/>
                          </w:rPr>
                          <w:t>8 inci, 24 üncü, 27 nci, 30 uncu ve 31 inci</w:t>
                        </w:r>
                        <w:r w:rsidRPr="00611F9D">
                          <w:rPr>
                            <w:rFonts w:ascii="Calibri" w:eastAsia="Times New Roman" w:hAnsi="Calibri" w:cs="Calibri"/>
                            <w:lang w:eastAsia="tr-TR"/>
                          </w:rPr>
                          <w:t> maddeleri ile 9/1/1985 tarihli ve 3146 sayılı Çalışma ve Sosyal Güvenlik Bakanlığının Teşkilat ve Görevleri Hakkında Kanunun 2 nci ve 12 nci maddelerine dayanılarak hazırlanmıştır.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Tanımlar ve kısaltmalar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4 –</w:t>
                        </w:r>
                        <w:r w:rsidRPr="00611F9D">
                          <w:rPr>
                            <w:rFonts w:ascii="Calibri" w:eastAsia="Times New Roman" w:hAnsi="Calibri" w:cs="Calibri"/>
                            <w:lang w:eastAsia="tr-TR"/>
                          </w:rPr>
                          <w:t> (1) Bu Yönetmelikte geçen: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Bakanlık: Çalışma ve Sosyal Güvenlik Bakanlığını,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Çalışan temsilcisi: İş sağlığı ve güvenliği ile ilgili çalışmalara katılma, çalışmaları izleme, tedbir alınmasını isteme, tekliflerde bulunma ve benzeri konularda çalışanları temsil etmeye yetkili çalışanı,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Genel Müdürlük: İş Sağlığı ve Güvenliği Genel Müdürlüğünü,</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İşyeri sağlık ve güvenlik birimi (İSGB): İşyerinde iş sağlığı ve güvenliği hizmetlerini yürütmek üzere kurulan, gerekli donanım ve personele sahip olan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İSG-KÂTİP: İş sağlığı ve güvenliği hizmetleri ile ilgili iş ve işlemlerin Genel Müdürlükçe kayıt, takip ve izlenmesi amacıyla kullanılan iş sağlığı ve güvenliği kayıt, takip ve izleme programını,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Onaylı defter: İşyeri hekimi ve iş güvenliği uzmanı tarafından yapılan tespit ve tavsiyeler ile gerekli görülen diğer hususların yazıldığı, seri numaralı ve sayfaları bir asıl iki kopyalı şekilde düzenlenmiş her işyeri için tek olan defteri,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f) Ortak sağlık ve güvenlik birimi (OSGB): Kamu kurum ve kuruluşları, organize sanayi bölgeleri ile 13/1/2011 tarihli ve 6102 sayılı Türk Ticaret Kanununa göre faaliyet gösteren şirketler tarafından, işyerlerine iş sağlığı ve güvenliği hizmetlerini sunmak üzere kurulan gerekli donanım ve personele sahip olan ve Bakanlıkça yetkilendirilen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g) Sorumlu müdür: İşyeri hekimliği veya iş güvenliği uzmanlığı belgesine sahip, OSGB’lerde tam süreli istihdam edilen ve bu birimlerin iş ve işlemlerinden Bakanlığa karşı sorumlu olan kişiyi,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ğ) </w:t>
                        </w:r>
                        <w:r w:rsidRPr="00611F9D">
                          <w:rPr>
                            <w:rFonts w:ascii="Calibri" w:eastAsia="Times New Roman" w:hAnsi="Calibri" w:cs="Calibri"/>
                            <w:b/>
                            <w:bCs/>
                            <w:lang w:eastAsia="tr-TR"/>
                          </w:rPr>
                          <w:t>(Ek:RG-18/12/2014-29209) </w:t>
                        </w:r>
                        <w:r w:rsidRPr="00611F9D">
                          <w:rPr>
                            <w:rFonts w:ascii="Calibri" w:eastAsia="Times New Roman" w:hAnsi="Calibri" w:cs="Calibri"/>
                            <w:lang w:eastAsia="tr-TR"/>
                          </w:rPr>
                          <w:t>İtiraz komisyonu: Bu Yönetmelik kapsamında hizmet veren kişi veya kurumların belgelerinin askıya alınma veya iptali ile ilgili itirazları değerlendirmek ve 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h) </w:t>
                        </w:r>
                        <w:r w:rsidRPr="00611F9D">
                          <w:rPr>
                            <w:rFonts w:ascii="Calibri" w:eastAsia="Times New Roman" w:hAnsi="Calibri" w:cs="Calibri"/>
                            <w:b/>
                            <w:bCs/>
                            <w:lang w:eastAsia="tr-TR"/>
                          </w:rPr>
                          <w:t>(Ek:RG-18/12/2014-29209) </w:t>
                        </w:r>
                        <w:r w:rsidRPr="00611F9D">
                          <w:rPr>
                            <w:rFonts w:ascii="Calibri" w:eastAsia="Times New Roman" w:hAnsi="Calibri" w:cs="Calibri"/>
                            <w:lang w:eastAsia="tr-TR"/>
                          </w:rPr>
                          <w:t>Toplum Sağlığı Merkezi Birimi (TSMB): Sağlık Bakanlığına bağlı, işyerlerine iş sağlığı ve güvenliği hizmetlerini sunmak üzere kurulan gerekli donanım ve personele sahip olan ve Bakanlıkça yetkilendirilen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ifade eder.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lastRenderedPageBreak/>
                          <w:t>İKİNCİ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Hak ve Yükümlülükler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İşverenin iş sağlığı ve güvenliği hizmetleri ile ilgili yükümlülükleri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5 –</w:t>
                        </w:r>
                        <w:r w:rsidRPr="00611F9D">
                          <w:rPr>
                            <w:rFonts w:ascii="Calibri" w:eastAsia="Times New Roman" w:hAnsi="Calibri" w:cs="Calibri"/>
                            <w:lang w:eastAsia="tr-TR"/>
                          </w:rPr>
                          <w:t> (1) </w:t>
                        </w:r>
                        <w:r w:rsidRPr="00611F9D">
                          <w:rPr>
                            <w:rFonts w:ascii="Calibri" w:eastAsia="Times New Roman" w:hAnsi="Calibri" w:cs="Calibri"/>
                            <w:b/>
                            <w:bCs/>
                            <w:lang w:eastAsia="tr-TR"/>
                          </w:rPr>
                          <w:t>(Değişik:RG-18/12/2014-29209) </w:t>
                        </w:r>
                        <w:r w:rsidRPr="00611F9D">
                          <w:rPr>
                            <w:rFonts w:ascii="Calibri" w:eastAsia="Times New Roman" w:hAnsi="Calibri" w:cs="Calibri"/>
                            <w:lang w:eastAsia="tr-TR"/>
                          </w:rPr>
                          <w:t>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 çalışanları arasından ilgili yönetmeliklerde belirtilen nitelikleri haiz bir veya birden fazla işyeri hekimi, iş güvenliği uzmanı görevlendirir. On ve daha fazla çalışanı olan çok tehlikeli sınıfta yer alan işyeri işverenleri ayrıca diğer sağlık personeli görevlendirir. Gerekli nitelikleri haiz olması halinde tehlike sınıfı ve çalışan sayısını dikkate alarak bu hizmetin yerine getirilmesini kendisi üstlenebilir.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İşveren, işyerinde gerekli niteliklere sahip personel bulunmaması halinde birinci fıkrada sayılan yükümlülüklerinin tamamını veya bir kısmını, OSGB’lerden hizmet alarak yerine getirebilir.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İşveren, işyeri hekimi ve iş güvenliği uzmanının tam süreli görevlendirilmesi gereken durumlarda İSGB kurar. Tam süreli işyeri hekimi görevlendirilen işyerlerinde, diğer sağlık personeli görevlendirilmesi zorunlu değildir.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Üçüncü fıkrada belirtilen sürenin hesaplanmasında, çalışanların tabi olduğu kanun hükümleri saklı kalmak kaydıyla, 22/5/2003 tarihli ve 4857 sayılı İş Kanununa göre belirlenen haftalık çalışma süresi dikkate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İşveren;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 sağlığı ve güvenliği hizmetleri ile ilgili görevlendirilen personelin etkin bir şekilde çalışması amacıyla gerekli kolaylığı sağlamak ve bu hususta planlama ve düzenleme yapmakla,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Görevlendirdiği kişi veya OSGB’lerin görevlerini yerine getirmeleri amacıyla araç, gereç, mekân ve zaman gibi gerekli bütün ihtiyaçlarını karşılamakla,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İşyerinde sağlık ve güvenlik hizmetini yürütenler arasında işbirliği ve koordinasyonu sağlamakla,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Görevlendirdiği kişi veya hizmet aldığı OSGB’ler tarafından iş sağlığı ve güvenliği ile ilgili mevzuata uygun olan ve yazılı olarak bildirilen tedbirleri yerine getirmekle,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İşyeri hekimi, iş güvenliği uzmanı ve diğer sağlık personelinin görevlerini yerine getirebilmeleri için, Bakanlıkça belirlenen sürelerden az olmamak kaydı ile yeterli çalışma süresini sağlamakla,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w:t>
                        </w:r>
                        <w:r w:rsidRPr="00611F9D">
                          <w:rPr>
                            <w:rFonts w:ascii="Calibri" w:eastAsia="Times New Roman" w:hAnsi="Calibri" w:cs="Calibri"/>
                            <w:b/>
                            <w:bCs/>
                            <w:lang w:eastAsia="tr-TR"/>
                          </w:rPr>
                          <w:t>(Ek:RG-18/12/2014-29209) </w:t>
                        </w:r>
                        <w:r w:rsidRPr="00611F9D">
                          <w:rPr>
                            <w:rFonts w:ascii="Calibri" w:eastAsia="Times New Roman" w:hAnsi="Calibri" w:cs="Calibri"/>
                            <w:lang w:eastAsia="tr-TR"/>
                          </w:rPr>
                          <w:t>Çalışanın ölümü veya maluliyetiyle sonuçlanacak şekilde vücut bütünlüğünün bozulmasına neden olan iş kazası veya meslek hastalığının meydana gelmesinde ihmali yargı kararı ile kesinleşen işyeri hekimi veya iş güvenliği uzmanını Genel Müdürlüğe bildirmekle,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f) </w:t>
                        </w:r>
                        <w:r w:rsidRPr="00611F9D">
                          <w:rPr>
                            <w:rFonts w:ascii="Calibri" w:eastAsia="Times New Roman" w:hAnsi="Calibri" w:cs="Calibri"/>
                            <w:b/>
                            <w:bCs/>
                            <w:lang w:eastAsia="tr-TR"/>
                          </w:rPr>
                          <w:t>(Ek:RG-18/12/2014-29209) </w:t>
                        </w:r>
                        <w:r w:rsidRPr="00611F9D">
                          <w:rPr>
                            <w:rFonts w:ascii="Calibri" w:eastAsia="Times New Roman" w:hAnsi="Calibri" w:cs="Calibri"/>
                            <w:lang w:eastAsia="tr-TR"/>
                          </w:rPr>
                          <w:t>Bakanlıkça belirlenecek iş sağlığı ve güvenliğini ilgilendiren konularla ilgili bilgileri, İSG KATİP sistemi üzerinden Genel Müdürlüğe bilgi vermekle,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yükümlüdür.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İş sağlığı ve güvenliği hizmetlerini yürütmek üzere işyerinden personel görevlendirmek veya OSGB’lerden hizmet almak suretiyle bu konudaki yetkilerini devreden işverenin bu hizmetlere ilişkin yükümlülükleri devam eder.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(7) İşveren işyerinde görev yapan işyeri hekimi, iş güvenliği uzmanı ve diğer sağlık personeli ile hizmet alınan OSGB’lerin İş Sağlığı ve Güvenliği Kanununa göre geçerli yetki belgesi ile görevlendirilmesinden sorumludur.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(8) </w:t>
                        </w:r>
                        <w:r w:rsidRPr="00611F9D">
                          <w:rPr>
                            <w:rFonts w:ascii="Calibri" w:eastAsia="Times New Roman" w:hAnsi="Calibri" w:cs="Calibri"/>
                            <w:b/>
                            <w:bCs/>
                            <w:lang w:eastAsia="tr-TR"/>
                          </w:rPr>
                          <w:t>(Ek:RG-18/12/2014-29209) </w:t>
                        </w:r>
                        <w:r w:rsidRPr="00611F9D">
                          <w:rPr>
                            <w:rFonts w:ascii="Calibri" w:eastAsia="Times New Roman" w:hAnsi="Calibri" w:cs="Calibri"/>
                            <w:lang w:eastAsia="tr-TR"/>
                          </w:rPr>
                          <w:t>Belirlenen niteliklere ve gerekli belgeye sahip olmayan ancak ondan az çalışanı bulunan ve az tehlikeli sınıfta yer alan işyeri işverenleri veya işveren vekili tarafından Bakanlıkça ilan edilen eğitimleri tamamlamak şartıyla işe giriş ve periyodik muayeneler ve tetkikler hariç iş sağlığı ve güvenliği hizmetlerini yürütebilirler. Bu fıkraya ilişkin eğitim programları, eğitimin süresi ve eğiticilerin nitelikleri ile görevlendirmeye ilişkin hususlar Bakanlıkça belirlenir.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(9) </w:t>
                        </w:r>
                        <w:r w:rsidRPr="00611F9D">
                          <w:rPr>
                            <w:rFonts w:ascii="Calibri" w:eastAsia="Times New Roman" w:hAnsi="Calibri" w:cs="Calibri"/>
                            <w:b/>
                            <w:bCs/>
                            <w:lang w:eastAsia="tr-TR"/>
                          </w:rPr>
                          <w:t>(Ek:RG-18/12/2014-29209) </w:t>
                        </w:r>
                        <w:r w:rsidRPr="00611F9D">
                          <w:rPr>
                            <w:rFonts w:ascii="Calibri" w:eastAsia="Times New Roman" w:hAnsi="Calibri" w:cs="Calibri"/>
                            <w:lang w:eastAsia="tr-TR"/>
                          </w:rPr>
                          <w:t xml:space="preserve">İşyeri hekimi, iş güvenliği uzmanı ve diğer sağlık personelinin </w:t>
                        </w:r>
                        <w:r w:rsidRPr="00611F9D">
                          <w:rPr>
                            <w:rFonts w:ascii="Calibri" w:eastAsia="Times New Roman" w:hAnsi="Calibri" w:cs="Calibri"/>
                            <w:lang w:eastAsia="tr-TR"/>
                          </w:rPr>
                          <w:lastRenderedPageBreak/>
                          <w:t>görevlendirilmesine ilişkin zorunlu çalışma sürelerinin hesabında; 5/6/1986 tarihli ve 3308 sayılı Mesleki Eğitim Kanunu ile 4/11/1981 tarihli ve 2547 sayılı Yükseköğretim Kanunu kapsamındaki öğrenci statüsünde olan çırak ve stajyerler, toplam çalışan sayısına dâhil edilmez.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(10) </w:t>
                        </w:r>
                        <w:r w:rsidRPr="00611F9D">
                          <w:rPr>
                            <w:rFonts w:ascii="Calibri" w:eastAsia="Times New Roman" w:hAnsi="Calibri" w:cs="Calibri"/>
                            <w:b/>
                            <w:bCs/>
                            <w:lang w:eastAsia="tr-TR"/>
                          </w:rPr>
                          <w:t>(Ek:RG-18/12/2014-29209) </w:t>
                        </w:r>
                        <w:r w:rsidRPr="00611F9D">
                          <w:rPr>
                            <w:rFonts w:ascii="Calibri" w:eastAsia="Times New Roman" w:hAnsi="Calibri" w:cs="Calibri"/>
                            <w:lang w:eastAsia="tr-TR"/>
                          </w:rPr>
                          <w:t>İşveren, sektörel düzenleme çerçevesinde maden ve yapı ile diğer sektörlerde öncelikli olarak hangi mesleki unvana sahip iş güvenliği uzmanlarının ve bunların yanında görev yapacak diğer mesleklere sahip iş güvenliği uzmanlarının belirlenmesine dair usul ve esaslar Bakanlıkça düzenlendikten sonra sektörel iş güvenliği uzmanlığı belgesine sahip olan iş güvenliği uzmanı görevlendirmek zorundadır.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İşverenin katılım sağlama ve bilgilendirme yükümlülüğü</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6 –</w:t>
                        </w:r>
                        <w:r w:rsidRPr="00611F9D">
                          <w:rPr>
                            <w:rFonts w:ascii="Calibri" w:eastAsia="Times New Roman" w:hAnsi="Calibri" w:cs="Calibri"/>
                            <w:lang w:eastAsia="tr-TR"/>
                          </w:rPr>
                          <w:t> (1) İşveren;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İşyerinden görevlendirilecek veya hizmet alınacak OSGB’de görevli işyeri hekimi, iş güvenliği uzmanı ve diğer sağlık personelinin görevlendirilmesi konusunda çalışan temsilcilerinin önceden görüşlerinin alınmasını sağlar.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Görevlendirdiği veya hizmet aldığı OSGB’de görev yapan kişiler ile bunların çalışma saatleri, görev, yetki ve sorumlulukları konusunda çalışan temsilcisi ve çalışanları bilgilendirir.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Çalışanların sağlık ve güvenliğini etkilediği bilinen veya etkilemesi muhtemel konular hakkında; görevlendirdiği kişi veya hizmet aldığı OSGB’yi, başka işyerlerinden çalışmak üzere kendi işyerine gelen çalışanları ve bunların işverenlerini bilgilendirir.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Başka bir işyerinden kendi işyerine çalışmak üzere gelen çalışanların sağlık bilgilerine, görevlendirdiği kişi veya hizmet aldığı OSGB’lerin ulaşabilmesini sağlar.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İş sağlığı ve güvenliği mevzuatı gereği, yükümlü olduğu kayıt ve bildirimleri görevlendirdiği kişi veya hizmet aldığı OSGB ile işbirliği içerisinde yapar.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İşverenin sağlık ve güvenlik kayıtları ve onaylı deftere ilişkin yükümlülükleri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7 –</w:t>
                        </w:r>
                        <w:r w:rsidRPr="00611F9D">
                          <w:rPr>
                            <w:rFonts w:ascii="Calibri" w:eastAsia="Times New Roman" w:hAnsi="Calibri" w:cs="Calibri"/>
                            <w:lang w:eastAsia="tr-TR"/>
                          </w:rPr>
                          <w:t> (1) İşveren ilgili mevzuatta belirlenen süreler saklı kalmak kaydıyla;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İşyerinde yürütülen iş sağlığı ve güvenliği faaliyetlerine ilişkin her türlü kaydı,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İşten ayrılma tarihinden itibaren en az 15 yıl süreyle çalışanların kişisel sağlık dosyalarını,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saklar.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Çalışanın işyerinden ayrılarak başka bir işyerinde çalışmaya başlaması halinde, yeni işveren çalışanın kişisel sağlık dosyasını yazılı olarak talep eder, önceki işveren dosyanın bir örneğini onaylayarak bir ay içerisinde gönderir.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Onaylı defter işyerinin bağlı bulunduğu Çalışma ve İş Kurumu İl Müdürlükleri </w:t>
                        </w:r>
                        <w:r w:rsidRPr="00611F9D">
                          <w:rPr>
                            <w:rFonts w:ascii="Calibri" w:eastAsia="Times New Roman" w:hAnsi="Calibri" w:cs="Calibri"/>
                            <w:b/>
                            <w:bCs/>
                            <w:lang w:eastAsia="tr-TR"/>
                          </w:rPr>
                          <w:t>(Mülga ibare:RG-18/12/2014-29209) </w:t>
                        </w:r>
                        <w:r w:rsidRPr="00611F9D">
                          <w:rPr>
                            <w:rFonts w:ascii="Calibri" w:eastAsia="Times New Roman" w:hAnsi="Calibri" w:cs="Calibri"/>
                            <w:lang w:eastAsia="tr-TR"/>
                          </w:rPr>
                          <w:t>(…)veya noterce her sayfası mühürlenmek suretiyle onaylanır.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Onaylı defter yapılan tespitlere göre iş güvenliği uzmanı, işyeri hekimi ile işveren tarafından birlikte veya ayrı ayrı imzalanır. Onaylı deftere yazılan tespit ve öneriler işverene tebliğ edilmiş sayılır.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Onaylı defterin asıl sureti işveren, diğer suretleri ise iş güvenliği uzmanı ve işyeri hekimi tarafından saklanır. Defterin imzalanması ve düzenli tutulmasından işveren sorumludur. Teftişe yetkili iş müfettişlerinin her istediğinde işveren onaylı defteri göstermek zorundadır.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Çalışanların hak ve yükümlülükleri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8 –</w:t>
                        </w:r>
                        <w:r w:rsidRPr="00611F9D">
                          <w:rPr>
                            <w:rFonts w:ascii="Calibri" w:eastAsia="Times New Roman" w:hAnsi="Calibri" w:cs="Calibri"/>
                            <w:lang w:eastAsia="tr-TR"/>
                          </w:rPr>
                          <w:t> (1) Çalışanlar sağlık ve güvenliklerini etkileyebilecek tehlikeleri iş sağlığı ve güvenliği kuruluna, kurulun bulunmadığı işyerlerinde ise işverene bildirerek durumun tespit edilmesini ve gerekli tedbirlerin alınmasını talep edebilir.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Çalışanlar ve temsilcileri, işyerinde yürütülecek iş sağlığı ve güvenliği hizmetlerinin amaç ve usulleri konusunda haberdar edilir ve elde edilen verilerin kullanılması hakkında bilgilendirilirler.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Çalışanlar, işyerinde sağlıklı ve güvenli çalışma ortamının korunması ve geliştirilmesi için;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 hekimi, iş güvenliği uzmanı veya işveren tarafından verilen iş sağlığı ve güvenliğiyle ilgili mevzuata uygun talimatlara uyar.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İş sağlığı ve güvenliği hizmetlerini yerine getirmek üzere işveren tarafından görevlendirilen kişi veya OSGB’lerin yapacağı çalışmalarda işbirliği yapar.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İş sağlığı ve güvenliğine ilişkin çalışmalara, sağlık muayenelerine, bilgilendirme ve eğitim programlarına katılır.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lastRenderedPageBreak/>
                          <w:t>ç) Makine, tesisat ve kişisel koruyucu donanımı verilen eğitim ve talimatlar doğrultusunda ve amacına uygun olarak kullanır.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Teftişe yetkili makam tarafından işyerinde tespit edilen noksanlık ve ilgili mevzuata aykırılıkların giderilmesi konusunda, işveren ve çalışan temsilcisi ile işbirliği yapar.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İşyerindeki makine, cihaz, araç, gereç, tesis ve binalarda sağlık ve güvenlik yönünden ciddi ve yakın bir tehlike ile karşılaştıklarında ve koruma tedbirlerinde bir eksiklik gördüklerinde, işverene veya çalışan temsilcisine derhal haber verir.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Hizmetin çalışanlara ücretsiz verilmesi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9 –</w:t>
                        </w:r>
                        <w:r w:rsidRPr="00611F9D">
                          <w:rPr>
                            <w:rFonts w:ascii="Calibri" w:eastAsia="Times New Roman" w:hAnsi="Calibri" w:cs="Calibri"/>
                            <w:lang w:eastAsia="tr-TR"/>
                          </w:rPr>
                          <w:t> (1) İş sağlığı ve güvenliği hizmetleri çalışanlara mali yük getirmeyecek şekilde sunulur.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ÜÇÜNCÜ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İşyeri Sağlık ve Güvenlik Birimi ve Ortak Sağlık ve Güvenlik Birimi ile İş Sağlığı ve Güvenliği Hizmetlerinin Yürütülmesi için Sağlanacak Şartlar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İşyeri sağlık ve güvenlik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10 –</w:t>
                        </w:r>
                        <w:r w:rsidRPr="00611F9D">
                          <w:rPr>
                            <w:rFonts w:ascii="Calibri" w:eastAsia="Times New Roman" w:hAnsi="Calibri" w:cs="Calibri"/>
                            <w:lang w:eastAsia="tr-TR"/>
                          </w:rPr>
                          <w:t> (1) İSGB; en az bir işyeri hekimi ile işyerinin tehlike sınıfına uygun belgeye sahip en az bir iş güvenliği uzmanının görevlendirilmesi ile oluşturulur. Bu birimde işveren diğer sağlık personeli de görevlendirebilir.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İş sağlığı ve güvenliği hizmetlerinin yürütülmesi amacıyla işveren tarafından işyerlerinde kurulacak olan iş sağlığı ve güvenliği birimlerinde aşağıdaki şartlar sağlanır.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İSGB, iş sağlığı ve güvenliği hizmetlerinin yürütülmesine ve çalışan personel sayısına uygun büyüklükte bir yerde kurulur. Bu birimin asıl işin yürütüldüğü mekânda ve giriş katta kurulması esastır.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İSGB’ler Ek-1’de belirtilen araç ve gereçler ile donatılır ve işyerinde çalışanların acil durumlarda en yakın sağlık birimine ulaştırılmasını sağlamak üzere uygun araç bulundurulur.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İSGB’nin bölümleri aynı alanda bulunur ve bu alan çalışanlar tarafından kolaylıkla görülebilecek şekilde işaretlenir.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w:t>
                        </w:r>
                        <w:r w:rsidRPr="00611F9D">
                          <w:rPr>
                            <w:rFonts w:ascii="Calibri" w:eastAsia="Times New Roman" w:hAnsi="Calibri" w:cs="Calibri"/>
                            <w:b/>
                            <w:bCs/>
                            <w:lang w:eastAsia="tr-TR"/>
                          </w:rPr>
                          <w:t>(Değişik:RG-31/1/2013-28545) </w:t>
                        </w:r>
                        <w:r w:rsidRPr="00611F9D">
                          <w:rPr>
                            <w:rFonts w:ascii="Calibri" w:eastAsia="Times New Roman" w:hAnsi="Calibri" w:cs="Calibri"/>
                            <w:lang w:eastAsia="tr-TR"/>
                          </w:rPr>
                          <w:t>Sağlık Bakanlığından ruhsatlı sağlık hizmeti sunucusu olan işyerlerinde kurulacak İSGB’lerde ilk yardım ve acil müdahale odası şartı ve EK-1’de belirtilen araç ve gereçler ile ulaşım amaçlı araç bulundurulması zorunluluğu aranmaz.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 sağlığı ve güvenliği hizmetlerinin yürütülmesi amacıyla sağlanacak şartlar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11 –</w:t>
                        </w:r>
                        <w:r w:rsidRPr="00611F9D">
                          <w:rPr>
                            <w:rFonts w:ascii="Calibri" w:eastAsia="Times New Roman" w:hAnsi="Calibri" w:cs="Calibri"/>
                            <w:lang w:eastAsia="tr-TR"/>
                          </w:rPr>
                          <w:t> (1) Tam süreli işyeri hekimi ve iş güvenliği uzmanı görevlendirilmesi gerekli olmayan hallerde işveren, görevlendirdiği kişi veya OSGB’lerin görevlerini yerine getirmeleri amacı ile asgari bu maddedeki şartları sağlar.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50 ve daha fazla çalışanı olan işyerlerinde işveren,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 hekimi ile diğer sağlık personeline ve iş güvenliği uzmanına 8 metrekareden az olmamak üzere toplam iki oda temin eder.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İşyerinde ayrıca acil durumlarda çalışanların en yakın sağlık birimine ulaştırılmasını sağlamak üzere uygun araç bulundurulur.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50’den az çalışanı olan işyerlerinde işveren, işyeri hekimi, iş güvenliği uzmanı ve diğer sağlık personelinin iş sağlığı ve güvenliği hizmetini etkin verebilmesi için çalışma süresince kullanılmak üzere uygun bir yer sağlar.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Birden fazla işyerinin bulunduğu iş merkezleri, iş hanları gibi yerlerde bulunan ve 50’den az çalışanı olan işverenlerin yürütecekleri iş sağlığı ve güvenliği hizmetleri için; koordinasyon yönetim tarafından sağlanmak üzere ortaklaşa kullanılabilecek bir mekân oluşturulabilir. Oluşturulacak mekândan hizmet sunulacak toplam çalışan sayısı 50’den az olması durumunda üçüncü fıkra, 50’den fazla olması durumunda ise ikinci fıkra hükümlerine uygunluk sağlanır.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(5) İş sağlığı ve güvenliği hizmetlerinin yürütülmesi için işveren tarafından ayrılan çalışma </w:t>
                        </w:r>
                        <w:r w:rsidRPr="00611F9D">
                          <w:rPr>
                            <w:rFonts w:ascii="Calibri" w:eastAsia="Times New Roman" w:hAnsi="Calibri" w:cs="Calibri"/>
                            <w:lang w:eastAsia="tr-TR"/>
                          </w:rPr>
                          <w:lastRenderedPageBreak/>
                          <w:t>yerlerinin bölüm ve birimlerinin aynı alan içerisinde bulunması esastır. Bu bölüm ve birimlerin bulunduğu yerler çalışanlar tarafından kolaylıkla görülebilecek şekilde işaretlenir.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Tam süreli işyeri hekimi ve iş güvenliği uzmanı görevlendirilmesi zorunlu olmayan hallerde, işyerinde bu maddeye göre oluşturulan ve belirtilen şartları karşılayan birim, düzenlenen sağlık raporları bakımından İSGB olarak kabul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Ortak sağlık ve güvenlik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12 –</w:t>
                        </w:r>
                        <w:r w:rsidRPr="00611F9D">
                          <w:rPr>
                            <w:rFonts w:ascii="Calibri" w:eastAsia="Times New Roman" w:hAnsi="Calibri" w:cs="Calibri"/>
                            <w:lang w:eastAsia="tr-TR"/>
                          </w:rPr>
                          <w:t> (1) OSGB kurulabilmesi ve hizmet sunabilmesi için tam süreli iş sözleşmesiyle çalışan en az bir;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 hekimi,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İş güvenliği uzmanı,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Diğer sağlık personeli,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istihdamı zorunludur.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OSGB’lerde tam süreli görevlendirilenler, başka bir OSGB’de veya işyerinde aynı unvanla veya Bakanlıkça yetkilendirilen eğitim kurumlarında eğitici unvanıyla görev alamaz.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OSGB’ler, iş sağlığı ve güvenliği hizmetlerinin yürütülmesine ve personel sayısına yetecek asgari büyüklükte; işyeri hekimi tarafından kullanılmak üzere en az 10 metrekarelik bir muayene odası, 15 metrekarelik ilkyardım ve acil müdahale, 10 metrekarelik iş güvenliği uzmanı odaları ile 12 metrekarelik bekleme yeri, uygun büyüklükte arşiv odası ve en az bir tuvalet ve lavabodan oluşur.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OSGB’ler, sözleşme yaptıkları işyerlerine sunulacak iş sağlığı ve güvenliği hizmetlerini, işyerinin tehlike sınıfı ve çalışan sayısına göre belirlenen sürelerden az olmamak kaydı ile yürütür.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w:t>
                        </w:r>
                        <w:r w:rsidRPr="00611F9D">
                          <w:rPr>
                            <w:rFonts w:ascii="Calibri" w:eastAsia="Times New Roman" w:hAnsi="Calibri" w:cs="Calibri"/>
                            <w:b/>
                            <w:bCs/>
                            <w:lang w:eastAsia="tr-TR"/>
                          </w:rPr>
                          <w:t>(Değişik cümle:RG-31/1/2013-28545) </w:t>
                        </w:r>
                        <w:r w:rsidRPr="00611F9D">
                          <w:rPr>
                            <w:rFonts w:ascii="Calibri" w:eastAsia="Times New Roman" w:hAnsi="Calibri" w:cs="Calibri"/>
                            <w:lang w:eastAsia="tr-TR"/>
                          </w:rPr>
                          <w:t>OSGB’ler kuruldukları il ve sınır komşusu illerde hizmet sunmaya yetkilidir. </w:t>
                        </w:r>
                        <w:r w:rsidRPr="00611F9D">
                          <w:rPr>
                            <w:rFonts w:ascii="Calibri" w:eastAsia="Times New Roman" w:hAnsi="Calibri" w:cs="Calibri"/>
                            <w:b/>
                            <w:bCs/>
                            <w:lang w:eastAsia="tr-TR"/>
                          </w:rPr>
                          <w:t>(Değişik cümle:RG-31/1/2013-28545) </w:t>
                        </w:r>
                        <w:r w:rsidRPr="00611F9D">
                          <w:rPr>
                            <w:rFonts w:ascii="Calibri" w:eastAsia="Times New Roman" w:hAnsi="Calibri" w:cs="Calibri"/>
                            <w:lang w:eastAsia="tr-TR"/>
                          </w:rPr>
                          <w:t>Sınır illerin dışında hizmet verilebilmesi için, bu Yönetmelikte belirtilen şartları sağlayarak o illerde şube açılması zorunludur. Ancak niteliği gereği birden fazla ilde yürütülmesi gereken raylı sistem, yol ve nakil hattı inşası veya bakımı ve onarımı gibi işlerde hizmet alınan OSGB’nin işin yapıldığı illerden herhangi birisinde yetkilendirilmiş olması yeterlidir.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OSGB’ler yetkilendirildikleri il sınırı içerisinde izinsiz şube açamayacağı gibi herhangi bir şekilde irtibat bürosu da açamazlar. Şube açmak istediklerinde bu Yönetmelikte belirtilen şartları sağlarlar.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(7) OSGB’lerin, işyerlerine hizmet verdikleri sürece yetki aldıkları adreste, açık ve faaliyette bulunması esastır. Günlük çalışma süresi içinde verilen hizmet ve faaliyetler konusunda yetkili bir kişinin OSGB’de hazır bulunması sağlanır.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(8) OSGB, 10/2/2004 tarihli ve 25369 sayılı Resmî Gazete’de yayımlanan İşyeri Bina ve Eklentilerinde Alınacak Sağlık ve Güvenlik Önlemlerine İlişkin Yönetmelikte belirtilen niteliklere uygun şekilde oluşturulur ve Ek-1’de belirtilen araç ve gereçlerle donatılır. OSGB’lerin iş merkezi, iş hanı ve alışveriş merkezleri gibi binalarda kuruluyor ise binaların, İşyeri Bina ve Eklentilerinde Alınacak Sağlık ve Güvenlik Önlemlerine İlişkin Yönetmeliğin acil çıkış düzenlemesine ilişkin hükümlerine uygunluğu yeterli kabul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(9) </w:t>
                        </w:r>
                        <w:r w:rsidRPr="00611F9D">
                          <w:rPr>
                            <w:rFonts w:ascii="Calibri" w:eastAsia="Times New Roman" w:hAnsi="Calibri" w:cs="Calibri"/>
                            <w:b/>
                            <w:bCs/>
                            <w:lang w:eastAsia="tr-TR"/>
                          </w:rPr>
                          <w:t>(Değişik:RG-18/12/2014-29209) </w:t>
                        </w:r>
                        <w:r w:rsidRPr="00611F9D">
                          <w:rPr>
                            <w:rFonts w:ascii="Calibri" w:eastAsia="Times New Roman" w:hAnsi="Calibri" w:cs="Calibri"/>
                            <w:lang w:eastAsia="tr-TR"/>
                          </w:rPr>
                          <w:t>OSGB’lerin zemin katta veya müstakil binalarda kurulması esastır. Ancak tuvalet ve arşiv bölümleri hariç OSGB’lerde bulunması gereken diğer bölümler, yol seviyesinden girişi olmayan katlarda kurulamaz. Tuvalet ve arşiv bölümleri ise OSGB’ye ait olmak kaydıyla bodrum katta bulunabilir. Kat niteliklerinin tespitinde tapu kayıtları esas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(10) </w:t>
                        </w:r>
                        <w:r w:rsidRPr="00611F9D">
                          <w:rPr>
                            <w:rFonts w:ascii="Calibri" w:eastAsia="Times New Roman" w:hAnsi="Calibri" w:cs="Calibri"/>
                            <w:b/>
                            <w:bCs/>
                            <w:lang w:eastAsia="tr-TR"/>
                          </w:rPr>
                          <w:t>(Değişik:RG-18/12/2014-29209) </w:t>
                        </w:r>
                        <w:r w:rsidRPr="00611F9D">
                          <w:rPr>
                            <w:rFonts w:ascii="Calibri" w:eastAsia="Times New Roman" w:hAnsi="Calibri" w:cs="Calibri"/>
                            <w:lang w:eastAsia="tr-TR"/>
                          </w:rPr>
                          <w:t>OSGB’lerde adres değişikliğinden önce veya unvan değişikliği sonrasında, e-devlet sistemi kullanılarak Genel Müdürlüğe başvurulur. Yeni adresin Genel Müdürlükçe onaylanmasına müteakip işlemler ilk başvuru hükümlerine tabi olarak yürütülür. Adres değişikliği işlemi tamamlanıncaya kadar hizmet vermek isteyen OSGB’ler, yetki aldığı mevcut adreste faaliyetine devam eder. Unvan değişikliğinde yetki belgesi yenileme başvuru süresi 30 gündür.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(11) Şirket ortaklarında değişiklik olması halinde, durum 30 gün içerisinde Genel Müdürlüğe bildirilir. Yeni şirket ortaklarının ilgili mevzuat hükümlerinde belirtilen şartlara uygun olmaması </w:t>
                        </w:r>
                        <w:r w:rsidRPr="00611F9D">
                          <w:rPr>
                            <w:rFonts w:ascii="Calibri" w:eastAsia="Times New Roman" w:hAnsi="Calibri" w:cs="Calibri"/>
                            <w:lang w:eastAsia="tr-TR"/>
                          </w:rPr>
                          <w:lastRenderedPageBreak/>
                          <w:t>halinde durumun düzeltilmesi amacıyla Genel Müdürlükçe şirkete 30 gün süre verilir.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DÖRDÜNCÜ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İşyeri Sağlık ve Güvenlik Birimi ile Ortak Sağlık ve Güvenlik Biriminin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Çalışma Usul ve Esasları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İSGB ve OSGB’lerin görev, yetki ve sorumlulukları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13 –</w:t>
                        </w:r>
                        <w:r w:rsidRPr="00611F9D">
                          <w:rPr>
                            <w:rFonts w:ascii="Calibri" w:eastAsia="Times New Roman" w:hAnsi="Calibri" w:cs="Calibri"/>
                            <w:lang w:eastAsia="tr-TR"/>
                          </w:rPr>
                          <w:t> (1) İSGB ve OSGB’ler, işyerlerinde sağlıklı ve güvenli bir çalışma ortamı oluşturulmasına katkıda bulunulması amacıyla;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Çalışanların sağlığını korumak ve geliştirmek amacı ile yapılacak sağlık gözetiminin uygulanmasından,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Çalışanların iş sağlığı ve güvenliği eğitimleri ve bilgilendirilmeleri konusunda planlama yapılarak işverenin onayına sunulmasından,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Çalışanların yürüttüğü işler, işyerinde yapılan risk değerlendirmesi sonuçları ve maruziyet bilgileri ile işe giriş ve periyodik sağlık muayenesi sonuçları, iş kazaları ile meslek hastalıkları kayıtlarının, işyerindeki kişisel sağlık dosyalarında gizlilik ilkesine uyularak saklanmasından,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sorumludurlar.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İşyerlerinde iş sağlığı ve güvenliği hizmeti sunmak üzere OSGB’lerce görevlendirilen işyeri hekimi ve iş güvenliği uzmanı tarafından saklanması gereken onaylı defter suretleri, </w:t>
                        </w:r>
                        <w:r w:rsidRPr="00611F9D">
                          <w:rPr>
                            <w:rFonts w:ascii="Calibri" w:eastAsia="Times New Roman" w:hAnsi="Calibri" w:cs="Calibri"/>
                            <w:b/>
                            <w:bCs/>
                            <w:lang w:eastAsia="tr-TR"/>
                          </w:rPr>
                          <w:t>(Ek ibare:RG-18/12/2014-29209) </w:t>
                        </w:r>
                        <w:r w:rsidRPr="00611F9D">
                          <w:rPr>
                            <w:rFonts w:ascii="Calibri" w:eastAsia="Times New Roman" w:hAnsi="Calibri" w:cs="Calibri"/>
                            <w:u w:val="single"/>
                            <w:lang w:eastAsia="tr-TR"/>
                          </w:rPr>
                          <w:t>yıllık çalışma planı ve yıllık değerlendirme raporu suretleri ile çalışanlara verilen iş sağlığı ve güvenliği eğitimlerine dair kayıtlar</w:t>
                        </w:r>
                        <w:r w:rsidRPr="00611F9D">
                          <w:rPr>
                            <w:rFonts w:ascii="Calibri" w:eastAsia="Times New Roman" w:hAnsi="Calibri" w:cs="Calibri"/>
                            <w:lang w:eastAsia="tr-TR"/>
                          </w:rPr>
                          <w:t> OSGB arşivinde tutulur ve istenmesi halinde denetime yetkili memurlara gösterilir. Kendilerinden talep edilmese dahi, sözleşme süresi sonunda bütün kayıt ve dosyalar OSGB’lerce işverene teslim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İSGB ve OSGB’ler iş sağlığı ve güvenliği hizmetlerinin sunulması sırasında işin normal akışını aksatmamaya özen gösterirler.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OSGB’ler, iş sağlığı ve güvenliği hizmetlerinin tamamını veya bir kısmını başka bir kişi veya kuruma devredemezler.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OSGB’lerce istihdam edilen kişilere ilişkin sözleşmeler İSG-KATİP üzerinden beş işgünü içerisinde Genel Müdürlüğe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OSGB’ler herhangi bir sebeple faaliyetlerini bırakmaları veya belgelerinin Genel Müdürlükçe iptal edilmesi halinde 30 gün içinde yetki belgelerinin asıllarını Genel Müdürlüğe iade ederler.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(7) </w:t>
                        </w:r>
                        <w:r w:rsidRPr="00611F9D">
                          <w:rPr>
                            <w:rFonts w:ascii="Calibri" w:eastAsia="Times New Roman" w:hAnsi="Calibri" w:cs="Calibri"/>
                            <w:b/>
                            <w:bCs/>
                            <w:lang w:eastAsia="tr-TR"/>
                          </w:rPr>
                          <w:t>(Ek:RG-18/12/2014-29209) </w:t>
                        </w:r>
                        <w:r w:rsidRPr="00611F9D">
                          <w:rPr>
                            <w:rFonts w:ascii="Calibri" w:eastAsia="Times New Roman" w:hAnsi="Calibri" w:cs="Calibri"/>
                            <w:lang w:eastAsia="tr-TR"/>
                          </w:rPr>
                          <w:t>OSGB’de sorumlu müdür olarak görevlendirilen kişinin değişmesi veya bu kişinin görevinden ayrılması durumunda, OSGB’ce en geç 30 gün içerisinde yeni sorumlu müdürün İSG-KATİP üzerinden atanması zorunludur.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Görevlendirme belgesi ve sözleşme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14 –</w:t>
                        </w:r>
                        <w:r w:rsidRPr="00611F9D">
                          <w:rPr>
                            <w:rFonts w:ascii="Calibri" w:eastAsia="Times New Roman" w:hAnsi="Calibri" w:cs="Calibri"/>
                            <w:lang w:eastAsia="tr-TR"/>
                          </w:rPr>
                          <w:t> </w:t>
                        </w:r>
                        <w:r w:rsidRPr="00611F9D">
                          <w:rPr>
                            <w:rFonts w:ascii="Calibri" w:eastAsia="Times New Roman" w:hAnsi="Calibri" w:cs="Calibri"/>
                            <w:b/>
                            <w:bCs/>
                            <w:lang w:eastAsia="tr-TR"/>
                          </w:rPr>
                          <w:t>(Değişik:RG-18/12/2014-29209)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(1) İşyerinde çalışanlar arasından işyeri hekimi, iş güvenliği uzmanı ve diğer sağlık personeli görevlendirilmesi durumunda bu kişilerle işveren arasında; OSGB’lerden hizmet alınması </w:t>
                        </w:r>
                        <w:r w:rsidRPr="00611F9D">
                          <w:rPr>
                            <w:rFonts w:ascii="Calibri" w:eastAsia="Times New Roman" w:hAnsi="Calibri" w:cs="Calibri"/>
                            <w:lang w:eastAsia="tr-TR"/>
                          </w:rPr>
                          <w:lastRenderedPageBreak/>
                          <w:t>durumunda OSGB ile işveren arasında sözleşme imzalanır.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İş sağlığı ve güvenliği hizmetlerinin sunulması amacıyla işyerlerinde görevlendirilen kişilerin, doğum, hastalık ve yıllık izin gibi zorunlu nedenler sebebiyle değiştirilmesi ve değişiklik süresinin 30 günü geçmesi halinde, durum Genel Müdürlüğe bildirilir. İş Kanunundaki çalışma süreleri saklı kalmak kaydıyla, kamu kurum ve kuruluşları hariç diğer işyerlerinde iş sağlığı ve güvenliği hizmetinin sunulması için hesaplanan zorunlu süre bölünmek suretiyle birden fazla kişi görevlendirmesi yapılamaz.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Sözleşme ve görevlendirme belgeleri Yönetmelikteki eklerine uygun olarak aşağıda belirtilen usul ve esaslar çerçevesinde düzenlenir.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OSGB ile işveren arasında İSG-KATİP sistemindeki örneğine uygun sözleşme düzenlenir ve karşılıklı olarak en geç beş gün içerisinde sistem üzerinden onaylanır. İSG-KATİP sistemi üzerinden onaylanan sözleşme nüshalarından biri işveren tarafından, biri OSGB tarafından saklanır. OSGB, sözleşme yaptığı işyerine hizmet verecek işyeri hekimi, iş güvenliği uzmanı ve diğer sağlık personelini, bu konuda ayrıca bilgilendirir.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İşyerinde çalışanlar arasından görevlendirme yapılması durumunda, işyeri hekimi, iş güvenliği uzmanı, diğer sağlık personeli ile İSG-KATİP sistemindeki örneğine uygun sözleşme veya görevlendirme belgesi düzenlenir ve karşılıklı olarak en geç beş gün içerisinde sistem üzerinden onaylanır. İSG-KATİP sistemi üzerinden onaylanan sözleşmenin bir nüshası işveren tarafından, biri sözleşme veya görevlendirme yapılan kişiler tarafından saklanır.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Kamuya ait işyerlerinde 14/7/1965 tarihli ve 657 sayılı Devlet Memurları Kanununa tabi çalışanlar arasından görevlendirme yapılması durumunda, görevlendirme yapılan kurum tarafından işyeri hekimi ile Ek-5a, iş güvenliği uzmanı ile Ek-5b, diğer sağlık personeli ile Ek-5c’deki örneğine uygun görevlendirme belgesi düzenlenir ve bu belgenin bir nüshası kurum tarafından, biri görevlendirme yapılan kişiler tarafından saklanır. Son nüsha kurum tarafından beş iş günü içinde Genel Müdürlüğe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İşverenin, işyeri hekimliği, iş güvenliği uzmanlığı veya diğer sağlık personeli görevini kendisinin üstlenmesi durumunda, işveren tarafından Ek-6’daki örneğine uygun çalışma taahhütnamesi iki nüsha halinde düzenlenir ve bu belgenin bir nüshası beş iş günü içinde Genel Müdürlüğe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Sözleşme veya görevlendirilmeleri Genel Müdürlükçe onaylanmayan işyeri hekimi, iş güvenliği uzmanı ve diğer sağlık personeli İş Sağlığı ve Güvenliği Kanunu kapsamındaki görevlerine başlatılamaz ve yetkilerini kullanamazlar.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İş güvenliği uzmanı, işyeri hekimi ve diğer sağlık personeline, iş sağlığı ve güvenliği ile ilgili çalışmaları yaptığı süre içinde başka görev verilemez.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(7) Bu maddede belirtilen sözleşme veya görevlendirme belgeleri ile bu belgelerin fesih veya başka bir nedenle geçerliliğini yitirmesi halinde durum çalışanlar arasından işyerinde görevlendirme yapılmış olması halinde işveren tarafından; işyeri dışından hizmet alınmış olması halinde OSGB tarafından beş iş günü içinde Genel Müdürlüğe İSG-KATİP üzerinden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(8) İSGB ve OSGB’lerde görevlendirme zorunluluğu bulunanların görevlerinden ayrılması durumunda yerine 30 gün içerisinde aranan niteliklere sahip personel görevlendirilir ve Genel Müdürlüğe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(9) OSGB’lerce işyerlerine sunulan her türlü iş sağlığı ve güvenliği hizmeti için İSG-KATİP sistemi üzerinden sözleşme yapılması gerekmektedir.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İşbirliği ve koordinasyon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15 –</w:t>
                        </w:r>
                        <w:r w:rsidRPr="00611F9D">
                          <w:rPr>
                            <w:rFonts w:ascii="Calibri" w:eastAsia="Times New Roman" w:hAnsi="Calibri" w:cs="Calibri"/>
                            <w:lang w:eastAsia="tr-TR"/>
                          </w:rPr>
                          <w:t> (1) İSGB veya OSGB personeli, görevlerinin yürütümünde ve iş sağlığı ve güvenliği mevzuatında öngörülen tedbirlerin uygulanmasında işbirliği ve koordinasyon içinde çalışır.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İSGB veya OSGB’ler işverenle, işyerinde çalışanlarla, çalışan temsilcileriyle ve bulunması halinde İş Sağlığı ve Güvenliği Kanununun 22 nci maddesinde belirtilen iş sağlığı ve güvenliği kuruluyla işbirliği içinde çalışır.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İşletme içinden veya dışından iş sağlığı ve güvenliği hizmetlerinde görevlendirilenler arasında koordinasyon işveren tarafından sağlanır.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lastRenderedPageBreak/>
                          <w:t>BEŞİNCİ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Ortak Sağlık ve Güvenlik Birimlerinin Başvuruları ve Yetkilendirilmesi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Ortak sağlık ve güvenlik birimlerinin başvuru işlemleri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16 –</w:t>
                        </w:r>
                        <w:r w:rsidRPr="00611F9D">
                          <w:rPr>
                            <w:rFonts w:ascii="Calibri" w:eastAsia="Times New Roman" w:hAnsi="Calibri" w:cs="Calibri"/>
                            <w:lang w:eastAsia="tr-TR"/>
                          </w:rPr>
                          <w:t> (1) </w:t>
                        </w:r>
                        <w:r w:rsidRPr="00611F9D">
                          <w:rPr>
                            <w:rFonts w:ascii="Calibri" w:eastAsia="Times New Roman" w:hAnsi="Calibri" w:cs="Calibri"/>
                            <w:b/>
                            <w:bCs/>
                            <w:lang w:eastAsia="tr-TR"/>
                          </w:rPr>
                          <w:t>(Değişik cümleler:RG-18/12/2014-29209) </w:t>
                        </w:r>
                        <w:r w:rsidRPr="00611F9D">
                          <w:rPr>
                            <w:rFonts w:ascii="Calibri" w:eastAsia="Times New Roman" w:hAnsi="Calibri" w:cs="Calibri"/>
                            <w:lang w:eastAsia="tr-TR"/>
                          </w:rPr>
                          <w:t>OSGB’ler yetki belgesi almak amacıyla e-devlet sistemi üzerinden başvuru yapar. E-devlet sisteminin iki günden fazla çalışmadığı durumlarda doğrudan veya posta yoluyla başvuru yapılabilir. Başvuru dosyasında aşağıda belirtilen ekler bulunur: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Ticari şirketler için tescil edildiğini gösteren Ticaret Sicil Gazetesi ve imza yetkisi olanları gösteren imza sirküleri.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Tam süreli görevlendirilen kişilerin iş sözleşmeleri veya görevlendirme belgeleri ile bu kişilere ait işyeri hekimliği, iş güvenliği uzmanlığı, diğer sağlık personeli belgeleri bu kişiler OSGB sahibi veya ortağı ise tam süreli çalışacaklarına dair taahhütname.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OSGB’nin sorumlu müdürünün kabul şerhli görevlendirme yazısı, bu kişi şirket sahibi veya ortağı ise sorumlu müdürlük taahhütnamesi.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Faaliyet gösterilecek yere ait olan yapı kullanma izin belgesi.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w:t>
                        </w:r>
                        <w:r w:rsidRPr="00611F9D">
                          <w:rPr>
                            <w:rFonts w:ascii="Calibri" w:eastAsia="Times New Roman" w:hAnsi="Calibri" w:cs="Calibri"/>
                            <w:b/>
                            <w:bCs/>
                            <w:lang w:eastAsia="tr-TR"/>
                          </w:rPr>
                          <w:t>(Değişik:RG-18/12/2014-29209) </w:t>
                        </w:r>
                        <w:r w:rsidRPr="00611F9D">
                          <w:rPr>
                            <w:rFonts w:ascii="Calibri" w:eastAsia="Times New Roman" w:hAnsi="Calibri" w:cs="Calibri"/>
                            <w:lang w:eastAsia="tr-TR"/>
                          </w:rPr>
                          <w:t>Faaliyet gösterilecek yere ait olan ve yetkili makamlarca verilen ada, pafta, parsel bilgilerini gösteren numarataj veya adres tespit belgesi.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w:t>
                        </w:r>
                        <w:r w:rsidRPr="00611F9D">
                          <w:rPr>
                            <w:rFonts w:ascii="Calibri" w:eastAsia="Times New Roman" w:hAnsi="Calibri" w:cs="Calibri"/>
                            <w:b/>
                            <w:bCs/>
                            <w:lang w:eastAsia="tr-TR"/>
                          </w:rPr>
                          <w:t>(Değişik:RG-18/12/2014-29209) </w:t>
                        </w:r>
                        <w:r w:rsidRPr="00611F9D">
                          <w:rPr>
                            <w:rFonts w:ascii="Calibri" w:eastAsia="Times New Roman" w:hAnsi="Calibri" w:cs="Calibri"/>
                            <w:lang w:eastAsia="tr-TR"/>
                          </w:rPr>
                          <w:t>Faaliyet gösterilecek yere ait tapu senedi ile birlikte kira sözleşmesi veya intifa hakkı belgesi.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f) </w:t>
                        </w:r>
                        <w:r w:rsidRPr="00611F9D">
                          <w:rPr>
                            <w:rFonts w:ascii="Calibri" w:eastAsia="Times New Roman" w:hAnsi="Calibri" w:cs="Calibri"/>
                            <w:b/>
                            <w:bCs/>
                            <w:lang w:eastAsia="tr-TR"/>
                          </w:rPr>
                          <w:t>(Değişik:RG-18/12/2014-29209) </w:t>
                        </w:r>
                        <w:r w:rsidRPr="00611F9D">
                          <w:rPr>
                            <w:rFonts w:ascii="Calibri" w:eastAsia="Times New Roman" w:hAnsi="Calibri" w:cs="Calibri"/>
                            <w:lang w:eastAsia="tr-TR"/>
                          </w:rPr>
                          <w:t>Faaliyet gösterilecek yere ait olan ve bu Yönetmelikte belirtilen bütün bölümlerin yer aldığı inşaat teknikeri, mimar veya inşaat mühendisi tarafından onaylanmış 1/100 ölçekli plan.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g) İlgili mevzuata göre faaliyet gösterilecek yerde yangına karşı gerekli tedbirlerin alındığına ve bu yerde OSGB açılmasında sakınca olmadığına dair yetkili merciler tarafından verilen belge.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ğ) </w:t>
                        </w:r>
                        <w:r w:rsidRPr="00611F9D">
                          <w:rPr>
                            <w:rFonts w:ascii="Calibri" w:eastAsia="Times New Roman" w:hAnsi="Calibri" w:cs="Calibri"/>
                            <w:b/>
                            <w:bCs/>
                            <w:lang w:eastAsia="tr-TR"/>
                          </w:rPr>
                          <w:t>(Ek:RG-18/12/2014-29209) </w:t>
                        </w:r>
                        <w:r w:rsidRPr="00611F9D">
                          <w:rPr>
                            <w:rFonts w:ascii="Calibri" w:eastAsia="Times New Roman" w:hAnsi="Calibri" w:cs="Calibri"/>
                            <w:lang w:eastAsia="tr-TR"/>
                          </w:rPr>
                          <w:t>Tapu kütüğünde mesken olarak kayıtlı bir gayrimenkulde OSGB’nin faaliyet gösterebileceğine dair kat malikleri kurulunun oybirliğiyle aldığı karar örneği.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Kamu kurum ve kuruluşları için, yalnızca birinci fıkranın (b), (c), (f) ve (g) bentlerinde belirtilen belgeler istenir. Ancak mekân kamu kurumuna ait değilse (a) bendi hariç diğer bentlerde belirtilen belgeler istenir.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Organize sanayi bölgelerince kurulacak OSGB’ler için, Bilim, Sanayi ve Teknoloji Bakanlığının ilgili biriminden alınmış organize sanayi bölgesine sicil numarası verildiğine dair yazı, müteşebbis heyeti veya genel kurulunca alınmış; ilgili adreste OSGB kurulmasına dair karar ile birinci fıkranın (a) ve (d) bentleri hariç diğer bentlerde belirtilen belgeler istenir.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w:t>
                        </w:r>
                        <w:r w:rsidRPr="00611F9D">
                          <w:rPr>
                            <w:rFonts w:ascii="Calibri" w:eastAsia="Times New Roman" w:hAnsi="Calibri" w:cs="Calibri"/>
                            <w:b/>
                            <w:bCs/>
                            <w:lang w:eastAsia="tr-TR"/>
                          </w:rPr>
                          <w:t>(Mülga:RG-18/12/2014-29209)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Ortak sağlık ve güvenlik birimlerinin yetkilendirilmesi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17 – </w:t>
                        </w:r>
                        <w:r w:rsidRPr="00611F9D">
                          <w:rPr>
                            <w:rFonts w:ascii="Calibri" w:eastAsia="Times New Roman" w:hAnsi="Calibri" w:cs="Calibri"/>
                            <w:lang w:eastAsia="tr-TR"/>
                          </w:rPr>
                          <w:t>(1) </w:t>
                        </w:r>
                        <w:r w:rsidRPr="00611F9D">
                          <w:rPr>
                            <w:rFonts w:ascii="Calibri" w:eastAsia="Times New Roman" w:hAnsi="Calibri" w:cs="Calibri"/>
                            <w:b/>
                            <w:bCs/>
                            <w:lang w:eastAsia="tr-TR"/>
                          </w:rPr>
                          <w:t>(Değişik:RG-18/12/2014-29209) </w:t>
                        </w:r>
                        <w:r w:rsidRPr="00611F9D">
                          <w:rPr>
                            <w:rFonts w:ascii="Calibri" w:eastAsia="Times New Roman" w:hAnsi="Calibri" w:cs="Calibri"/>
                            <w:lang w:eastAsia="tr-TR"/>
                          </w:rPr>
                          <w:t>OSGB tarafından yetki belgesi almak amacıyla yapılan başvuru Genel Müdürlükçe en geç on iş günü içinde incelenir. 19/1/2013 tarihli ve 28533 sayılı Resmî Gazete’de yayımlanan Elektronik Tebligat Yönetmeliği çerçevesinde kayıtlı elektronik posta sistemi üzerinden yazılı olarak bildirilen eksiklikler en geç kırk beş gün içinde tamamlanır. Herhangi bir eksikliği bulunmayan başvurular için en geç yirmi iş günü içinde yerinde inceleme yapılır. Yerinde inceleme işlemlerinde tespit edilen eksikliklerin giderilmesi için en fazla kırk beş gün süre verilir. Belirlenen sürelerde eksiklikler giderilmez ise dosya iade edilir ve iadeden itibaren bir yıl boyunca yapılan başvurular, bir yılın tamamlanmasına kadar askıya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OSGB’nin bu Yönetmelikte belirtilen şartları taşıması halinde, başvuru dosyasında bildirilen tam süreli çalışanlara ait Sosyal Güvenlik Kurumu işe giriş bildirgesinin Genel Müdürlüğe gönderilmesini takiben başvuru dosyasında belirtilen adres ve unvana münhasıran, en geç on iş günü içerisinde Genel Müdürlükçe Ek-2’deki örneğine uygun yetki belgesi düzenlenir. Başka bir adreste şube açılması istendiği takdirde, aynı usul ve esaslar dâhilinde işlem yapılır.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w:t>
                        </w:r>
                        <w:r w:rsidRPr="00611F9D">
                          <w:rPr>
                            <w:rFonts w:ascii="Calibri" w:eastAsia="Times New Roman" w:hAnsi="Calibri" w:cs="Calibri"/>
                            <w:b/>
                            <w:bCs/>
                            <w:lang w:eastAsia="tr-TR"/>
                          </w:rPr>
                          <w:t>(Mülga:RG-18/12/2014-29209)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OSGB’ler yetki belgesi almadan veya süresi içerisinde vize işlemini tamamlamadan bu Yönetmelik kapsamında belirtilen faaliyetleri yapamazlar.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lastRenderedPageBreak/>
                          <w:t>(5) OSGB’ler, aşağıda belirtilen hususlara uymak zorundadır.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w:t>
                        </w:r>
                        <w:r w:rsidRPr="00611F9D">
                          <w:rPr>
                            <w:rFonts w:ascii="Calibri" w:eastAsia="Times New Roman" w:hAnsi="Calibri" w:cs="Calibri"/>
                            <w:b/>
                            <w:bCs/>
                            <w:lang w:eastAsia="tr-TR"/>
                          </w:rPr>
                          <w:t>(Değişik:RG-18/12/2014-29209) </w:t>
                        </w:r>
                        <w:r w:rsidRPr="00611F9D">
                          <w:rPr>
                            <w:rFonts w:ascii="Calibri" w:eastAsia="Times New Roman" w:hAnsi="Calibri" w:cs="Calibri"/>
                            <w:lang w:eastAsia="tr-TR"/>
                          </w:rPr>
                          <w:t>Tabela ve basılı evrak, broşür, afiş ve diğer elektronik ortamlarda herhangi bir amaçla kullanılan her türlü yazılı ve görsel dokümanda sadece yetki belgesinde belirtilen isim ve unvan kullanılır.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OSGB’ler tarafından, EK-8’deki örneğine uygun, kurum unvanına göre hazırlanan ve </w:t>
                        </w:r>
                        <w:r w:rsidRPr="00611F9D">
                          <w:rPr>
                            <w:rFonts w:ascii="Calibri" w:eastAsia="Times New Roman" w:hAnsi="Calibri" w:cs="Calibri"/>
                            <w:b/>
                            <w:bCs/>
                            <w:lang w:eastAsia="tr-TR"/>
                          </w:rPr>
                          <w:t>(Değişik ibare:RG-18/12/2014-29209)</w:t>
                        </w:r>
                        <w:r w:rsidRPr="00611F9D">
                          <w:rPr>
                            <w:rFonts w:ascii="Calibri" w:eastAsia="Times New Roman" w:hAnsi="Calibri" w:cs="Calibri"/>
                            <w:u w:val="single"/>
                            <w:lang w:eastAsia="tr-TR"/>
                          </w:rPr>
                          <w:t>boy/en</w:t>
                        </w:r>
                        <w:r w:rsidRPr="00611F9D">
                          <w:rPr>
                            <w:rFonts w:ascii="Calibri" w:eastAsia="Times New Roman" w:hAnsi="Calibri" w:cs="Calibri"/>
                            <w:lang w:eastAsia="tr-TR"/>
                          </w:rPr>
                          <w:t> oranı 2/3 olan tabela, OSGB’nin bulunduğu binanın uygun bir kısmına veya girişine asılır. Aynı binada, Genel Müdürlükçe yetkilendirilen birden fazla kurum bulunması durumunda, kullanılacak tabela için Genel Müdürlük onayı alınması şartıyla, tüm unvanları gösteren tek bir tabela kullanılabilir. Bakanlık logosu, bu tabela haricinde hiçbir yazılı veya görsel doküman veya ortamda kullanılamaz.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Özel kuruluşlar tarafından, kamu kurum ve kuruluşlarına ait olan isimler ticari isim veya unvan olarak kullanılamaz.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OSGB tarafından başvuru dosyasında beyan edilen yerleşim planı, bina ve donanımda Genel Müdürlük onayı alınmadan hiçbir şekilde değişiklik yapılamaz.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(7) </w:t>
                        </w:r>
                        <w:r w:rsidRPr="00611F9D">
                          <w:rPr>
                            <w:rFonts w:ascii="Calibri" w:eastAsia="Times New Roman" w:hAnsi="Calibri" w:cs="Calibri"/>
                            <w:b/>
                            <w:bCs/>
                            <w:lang w:eastAsia="tr-TR"/>
                          </w:rPr>
                          <w:t>(Ek:RG-31/1/2013-28545) </w:t>
                        </w:r>
                        <w:r w:rsidRPr="00611F9D">
                          <w:rPr>
                            <w:rFonts w:ascii="Calibri" w:eastAsia="Times New Roman" w:hAnsi="Calibri" w:cs="Calibri"/>
                            <w:lang w:eastAsia="tr-TR"/>
                          </w:rPr>
                          <w:t>Bakanlıkça yetkilendirilen ve </w:t>
                        </w:r>
                        <w:r w:rsidRPr="00611F9D">
                          <w:rPr>
                            <w:rFonts w:ascii="Calibri" w:eastAsia="Times New Roman" w:hAnsi="Calibri" w:cs="Calibri"/>
                            <w:b/>
                            <w:bCs/>
                            <w:lang w:eastAsia="tr-TR"/>
                          </w:rPr>
                          <w:t>(Değişik ibare:RG-18/12/2014-29209) </w:t>
                        </w:r>
                        <w:r w:rsidRPr="00611F9D">
                          <w:rPr>
                            <w:rFonts w:ascii="Calibri" w:eastAsia="Times New Roman" w:hAnsi="Calibri" w:cs="Calibri"/>
                            <w:u w:val="single"/>
                            <w:lang w:eastAsia="tr-TR"/>
                          </w:rPr>
                          <w:t>TSMB’lerin</w:t>
                        </w:r>
                        <w:r w:rsidRPr="00611F9D">
                          <w:rPr>
                            <w:rFonts w:ascii="Calibri" w:eastAsia="Times New Roman" w:hAnsi="Calibri" w:cs="Calibri"/>
                            <w:lang w:eastAsia="tr-TR"/>
                          </w:rPr>
                          <w:t> işyeri hekimliği ve diğer sağlık personeli hizmetlerini 12 nci maddenin üçüncü fıkrasında belirtilen şartları iş güvenliği uzmanı odası hariç yerine getirmeleri durumunda sunabilirler. İş sağlığı ve güvenliği hizmetlerini vermek istedikleri takdirde 12 nci ve 16 ncı maddelerde belirtilen şartları yerine getirirler. Toplum sağlığı merkezlerinin yetkilendirilme ve denetimine ilişkin usul ve esaslar Sağlık Bakanlığı ve Bakanlığın birlikte hazırlayacakları genelge ile belirlenir.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ALTINCI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Çeşitli ve Son Hükümler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Sorumlu müdürün görev, yetki ve sorumlulukları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18 –</w:t>
                        </w:r>
                        <w:r w:rsidRPr="00611F9D">
                          <w:rPr>
                            <w:rFonts w:ascii="Calibri" w:eastAsia="Times New Roman" w:hAnsi="Calibri" w:cs="Calibri"/>
                            <w:lang w:eastAsia="tr-TR"/>
                          </w:rPr>
                          <w:t> (1) OSGB sorumlu müdürü;</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OSGB personelinin görevlendirilmesinin takibinden,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OSGB kayıtlarının tutulması ve düzenli olarak arşivlenmesinden,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Genel Müdürlük tarafından istenen belgelerin hazırlanmasından,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OSGB’lerin başvuru, yetkilendirme, vize işlemlerinin takibinden,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sorumludur.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OSGB’lerde tam zamanlı görevli bulunan işyeri hekimleri veya iş güvenliği uzmanları aynı zamanda sorumlu müdürlük görevini de yürütebilir.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OSGB’lerce talep edilen veya bildirilen her türlü bilgi ve belgeye ilişkin iş ve işlemlerde, Genel Müdürlük tarafından sadece sorumlu müdür muhatap kabul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w:t>
                        </w:r>
                        <w:r w:rsidRPr="00611F9D">
                          <w:rPr>
                            <w:rFonts w:ascii="Calibri" w:eastAsia="Times New Roman" w:hAnsi="Calibri" w:cs="Calibri"/>
                            <w:b/>
                            <w:bCs/>
                            <w:lang w:eastAsia="tr-TR"/>
                          </w:rPr>
                          <w:t>(Mülga:RG-18/12/2014-29209)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OSGB’lerin faaliyet alanları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19 –</w:t>
                        </w:r>
                        <w:r w:rsidRPr="00611F9D">
                          <w:rPr>
                            <w:rFonts w:ascii="Calibri" w:eastAsia="Times New Roman" w:hAnsi="Calibri" w:cs="Calibri"/>
                            <w:lang w:eastAsia="tr-TR"/>
                          </w:rPr>
                          <w:t> (1) OSGB’ler, yetki aldıkları adreste ve başvuru dosyasında yer alan planda belirtilen bölümlerde Genel Müdürlükçe yetkilendirilmedikleri konularda hizmet veremez ve faaliyette bulunamazlar.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Ancak, ilgili kurum ve kuruluşların izinlerini almak ve Genel Müdürlükten onay almak şartıyla, OSGB’ler hizmet verdikleri işyerlerindeki çalışanlar ve işyeri ile sınırlı kalmak şartı ile iş sağlığı ve güvenliği ile ilgili her türlü ölçüm ve analiz için gerekli donanımı OSGB’nin faaliyet gösterdiği adreste bulundurabilir ve ilgili personeli bünyesinde çalıştırabilirler. Bu amaçla kullanılacak bölümler 12 nci maddede belirtilen bölümler içerisinde olamaz ve görevlendirilecek personel mezkûr maddede belirtilen kişiler arasından atanamaz.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Belge alma ve vize işlemleri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20 –</w:t>
                        </w:r>
                        <w:r w:rsidRPr="00611F9D">
                          <w:rPr>
                            <w:rFonts w:ascii="Calibri" w:eastAsia="Times New Roman" w:hAnsi="Calibri" w:cs="Calibri"/>
                            <w:lang w:eastAsia="tr-TR"/>
                          </w:rPr>
                          <w:t> </w:t>
                        </w:r>
                        <w:r w:rsidRPr="00611F9D">
                          <w:rPr>
                            <w:rFonts w:ascii="Calibri" w:eastAsia="Times New Roman" w:hAnsi="Calibri" w:cs="Calibri"/>
                            <w:b/>
                            <w:bCs/>
                            <w:lang w:eastAsia="tr-TR"/>
                          </w:rPr>
                          <w:t>(Başlığı ile birlikte değişik:RG-18/12/2014-29209)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 Yetki belgelerinin, OSGB ve TSMB tarafından beş yılda bir vize ettirilmesi zorunludur. Belge almak veya vize işlemlerini yaptırmak isteyen kurumların;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Bu Yönetmeliğin ilgili hükümlerine uygunluk sağlamaları,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Bakanlıkça belirlenen belge veya vize bedelini ödemeleri,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lastRenderedPageBreak/>
                          <w:t>gereklidir.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Yetkilendirilen kurumlar, beş yılın tamamlanmasına en fazla 60 gün kala vize işlemleri için Genel Müdürlüğe e-devlet sistemi altyapısını kullanarak müracaat eder. Yukarıda belirtilen süreler içinde müracaat etmeyen kurumların yetki belgeleri, vize işlemleri tamamlanıncaya kadar askıya alınır. Vize süresinin bitiminden itibaren üç ay içinde vize işleminin tamamlanmaması durumunda yetki belgesi Genel Müdürlükçe doğrudan iptal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OSGB’lerde unvan değişikliği yapılması halinde yetki belgesinin yenilenmesi için Bakanlıkça belirlenen belge bedelinin ödenmesi gereklidir.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İhtarlar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21 –</w:t>
                        </w:r>
                        <w:r w:rsidRPr="00611F9D">
                          <w:rPr>
                            <w:rFonts w:ascii="Calibri" w:eastAsia="Times New Roman" w:hAnsi="Calibri" w:cs="Calibri"/>
                            <w:lang w:eastAsia="tr-TR"/>
                          </w:rPr>
                          <w:t> (1) Yetki belgesinin doğrudan iptalini gerektiren durumların dışındaki ihlallerde, OSGB’lere Ek-7’ de belirtilen ihtar puanları uygulanır.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Bir takvim yılı içinde hafif ihlallerin ihtar puanlarının toplamının 30’a, orta ihlallerin ihtar puanlarının toplamının 60’a ulaşması durumunda OSGB’nin o yıl içinde işleyecekleri diğer hafif ve orta ihlaller bir üst derecenin taban puanı esas alınarak uygulanır.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Beş yıllık sürenin sonunda vize işlemini tamamlayan kişi ve kurumların; uygulanmasının üzerinden en az bir yıl geçmiş olan tüm ihtar puanları silinir.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w:t>
                        </w:r>
                        <w:r w:rsidRPr="00611F9D">
                          <w:rPr>
                            <w:rFonts w:ascii="Calibri" w:eastAsia="Times New Roman" w:hAnsi="Calibri" w:cs="Calibri"/>
                            <w:b/>
                            <w:bCs/>
                            <w:lang w:eastAsia="tr-TR"/>
                          </w:rPr>
                          <w:t>(Ek:RG-18/12/2014-29209) </w:t>
                        </w:r>
                        <w:r w:rsidRPr="00611F9D">
                          <w:rPr>
                            <w:rFonts w:ascii="Calibri" w:eastAsia="Times New Roman" w:hAnsi="Calibri" w:cs="Calibri"/>
                            <w:lang w:eastAsia="tr-TR"/>
                          </w:rPr>
                          <w:t>Bu Yönetmelik uyarınca OSGB’lere uygulanan ihtar puanlarına ilişkin itirazlar, işlemin tebliğ tarihinden itibaren en geç 10 iş günü içinde Genel Müdürlüğe yapılır. Bu süreden sonra yapılacak itirazlar dikkate alınmaz.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Yetkilerin askıya alınması, iptali ve itiraz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22 –</w:t>
                        </w:r>
                        <w:r w:rsidRPr="00611F9D">
                          <w:rPr>
                            <w:rFonts w:ascii="Calibri" w:eastAsia="Times New Roman" w:hAnsi="Calibri" w:cs="Calibri"/>
                            <w:lang w:eastAsia="tr-TR"/>
                          </w:rPr>
                          <w:t> </w:t>
                        </w:r>
                        <w:r w:rsidRPr="00611F9D">
                          <w:rPr>
                            <w:rFonts w:ascii="Calibri" w:eastAsia="Times New Roman" w:hAnsi="Calibri" w:cs="Calibri"/>
                            <w:b/>
                            <w:bCs/>
                            <w:lang w:eastAsia="tr-TR"/>
                          </w:rPr>
                          <w:t>(Başlığı ile birlikte değişik:RG-18/12/2014-29209)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 Bu Yönetmelik uyarınca yetkilendirilen OSGB’lerin yetki belgeleri, ihtar puanları toplamının 300’e ulaşması durumunda Genel Müdürlükçe altı ay süreyle askıya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Yetki belgesi askıya alınan OSGB’ler, askıya alınma süresince bu Yönetmelik kapsamındaki yetkilerini kullanamazlar.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Aşağıdaki durumlardan birinin varlığının tespiti halinde;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Bu Yönetmelik gereği düzenlenen evrakın gerçeğe aykırılığının tespiti halinde üç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Şirket ortaklarının uygunsuzluğunun ilgili kuruma bildirilmesine rağmen durumun 30 gün içerisinde düzeltilmemesi halinde üç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Bakanlıkça belirlenen esaslara aykırı şekilde şube veya irtibat bürosu açmaları halinde altı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Yetki aldığı adres veya il sınırları dışında hizmet verilmesi halinde altı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Sunmakla yükümlü oldukları hizmetlerin tamamını veya bir kısmını devretmesi halinde altı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Genel Müdürlükten onay alınmadan adres değişikliği yapılması veya unvan değişikliği ile ilgili bildirim yükümlülüğünü 30 gün içinde yerine getirmemesi halinde bir yıl,</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süreyle ilgili merkez veya şubeye verilen yetki belgesinin geçerliliği askıya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OSGB’lerin yetki belgesi;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16 ncı maddede istenen başvuru evraklarından herhangi birinin gerçeğe aykırılığının tespiti halinde,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Bir vize döneminde üç defa askıya alınması halinde,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Belgesinin geçerliliğinin askıda olduğu süre içinde sözleşme yaptığının veya hizmet verdiğinin tespiti halinde,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doğrudan iptal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Yetki belgesi iptal edilen OSGB ve şubelerinin kurucu veya ortaklarının, iptal tarihinden itibaren iki yıl içerisinde yaptığı başvurular; iki yılın tamamlanmasına kadar askıya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Belgesinin geçerliliği askıya alınanlar veya iptal edilenlere Genel Müdürlükçe yazılı bildirim yapılır ve internet sayfasında ilan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(7) Yetki belgesinin iptali veya geçerliliğinin askıya alınması durumunda önceden yapılan hizmet ve iş sözleşmelerinden doğan hukuki sonuçlardan OSGB’ler sorumludur.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(8) Bu Yönetmelik uyarınca kurumlara uygulanan yetki belgesinin askıya alınma veya iptaline </w:t>
                        </w:r>
                        <w:r w:rsidRPr="00611F9D">
                          <w:rPr>
                            <w:rFonts w:ascii="Calibri" w:eastAsia="Times New Roman" w:hAnsi="Calibri" w:cs="Calibri"/>
                            <w:lang w:eastAsia="tr-TR"/>
                          </w:rPr>
                          <w:lastRenderedPageBreak/>
                          <w:t>ilişkin işlemlere itirazlar, işlemlerin tebliğ tarihinden itibaren en geç on iş günü içinde Genel Müdürlüğe yapılır. Bu süreden sonra yapılacak itirazlar dikkate alınmaz.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İtiraz komisyonunun çalışma şekli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22/A – (Ek:RG-18/12/2014-29209)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 İtiraz Komisyonu, bu Yönetmelik uyarınca yetkilendirilen veya belgelendirilen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Yürürlükten kaldırılan yönetmelik</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23 –</w:t>
                        </w:r>
                        <w:r w:rsidRPr="00611F9D">
                          <w:rPr>
                            <w:rFonts w:ascii="Calibri" w:eastAsia="Times New Roman" w:hAnsi="Calibri" w:cs="Calibri"/>
                            <w:lang w:eastAsia="tr-TR"/>
                          </w:rPr>
                          <w:t> (1) 27/11/2010 tarihli ve 27768 sayılı Resmî Gazete’de yayımlanan İş Sağlığı ve Güvenliği Hizmetleri Yönetmeliği yürürlükten kaldırılmıştır.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Elektronik tebligat</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EK MADDE 1 –</w:t>
                        </w:r>
                        <w:r w:rsidRPr="00611F9D">
                          <w:rPr>
                            <w:rFonts w:ascii="Calibri" w:eastAsia="Times New Roman" w:hAnsi="Calibri" w:cs="Calibri"/>
                            <w:lang w:eastAsia="tr-TR"/>
                          </w:rPr>
                          <w:t> </w:t>
                        </w:r>
                        <w:r w:rsidRPr="00611F9D">
                          <w:rPr>
                            <w:rFonts w:ascii="Calibri" w:eastAsia="Times New Roman" w:hAnsi="Calibri" w:cs="Calibri"/>
                            <w:b/>
                            <w:bCs/>
                            <w:lang w:eastAsia="tr-TR"/>
                          </w:rPr>
                          <w:t>(Ek:RG-18/12/2014-29209)</w:t>
                        </w:r>
                        <w:r w:rsidRPr="00611F9D">
                          <w:rPr>
                            <w:rFonts w:ascii="Calibri" w:eastAsia="Times New Roman" w:hAnsi="Calibri" w:cs="Calibri"/>
                            <w:b/>
                            <w:bCs/>
                            <w:vertAlign w:val="superscript"/>
                            <w:lang w:eastAsia="tr-TR"/>
                          </w:rPr>
                          <w:t>(1)</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 Elektronik Tebligat Yönetmeliği kapsamındaki şirketler ve kurumlar, bu Yönetmeliğin 16, 17, 20, 21 ve 22 nci maddelerine göre yapılacak tebligatlara esas olmak üzere elektronik tebligat adresini İSG-KATİP sistemine kaydettirmek zorundadır.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Mevcut OSGB’lerin durumu</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GEÇİCİ MADDE 1 –</w:t>
                        </w:r>
                        <w:r w:rsidRPr="00611F9D">
                          <w:rPr>
                            <w:rFonts w:ascii="Calibri" w:eastAsia="Times New Roman" w:hAnsi="Calibri" w:cs="Calibri"/>
                            <w:lang w:eastAsia="tr-TR"/>
                          </w:rPr>
                          <w:t> </w:t>
                        </w:r>
                        <w:r w:rsidRPr="00611F9D">
                          <w:rPr>
                            <w:rFonts w:ascii="Calibri" w:eastAsia="Times New Roman" w:hAnsi="Calibri" w:cs="Calibri"/>
                            <w:b/>
                            <w:bCs/>
                            <w:lang w:eastAsia="tr-TR"/>
                          </w:rPr>
                          <w:t>(Başlığı ile birlikte değişik:RG-31/1/2013-28545)</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 Mevcut OSGB’lerin onaylanmış yerleşim planında değişiklik olması halinde, fiziki şartların bu Yönetmelik hükümlerine uygun olması şartı aranır.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w:t>
                        </w:r>
                        <w:r w:rsidRPr="00611F9D">
                          <w:rPr>
                            <w:rFonts w:ascii="Calibri" w:eastAsia="Times New Roman" w:hAnsi="Calibri" w:cs="Calibri"/>
                            <w:b/>
                            <w:bCs/>
                            <w:lang w:eastAsia="tr-TR"/>
                          </w:rPr>
                          <w:t>(Mülga:RG-18/12/2014-29209)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50’den fazla çalışanı bulunan kamu kurumları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GEÇİCİ MADDE 2 –</w:t>
                        </w:r>
                        <w:r w:rsidRPr="00611F9D">
                          <w:rPr>
                            <w:rFonts w:ascii="Calibri" w:eastAsia="Times New Roman" w:hAnsi="Calibri" w:cs="Calibri"/>
                            <w:lang w:eastAsia="tr-TR"/>
                          </w:rPr>
                          <w:t> (1) 27/11/2010 tarihli ve 27768 sayılı Resmî Gazete’de yayımlanan İş Sağlığı ve Güvenliği Hizmetleri Yönetmeliğine göre iş sağlığı ve güvenliği hizmetleri sunmak zorunda olan ve İş Kanununa tabi 50’den fazla çalışanı bulunan kamu kurumları söz konusu hizmetleri 1/7/2014 tarihine kadar sürdürür.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Elektronik ortamlarda başvuru işlemleri ve geçiş hükümleri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GEÇİCİ MADDE 3 –</w:t>
                        </w:r>
                        <w:r w:rsidRPr="00611F9D">
                          <w:rPr>
                            <w:rFonts w:ascii="Calibri" w:eastAsia="Times New Roman" w:hAnsi="Calibri" w:cs="Calibri"/>
                            <w:lang w:eastAsia="tr-TR"/>
                          </w:rPr>
                          <w:t> </w:t>
                        </w:r>
                        <w:r w:rsidRPr="00611F9D">
                          <w:rPr>
                            <w:rFonts w:ascii="Calibri" w:eastAsia="Times New Roman" w:hAnsi="Calibri" w:cs="Calibri"/>
                            <w:b/>
                            <w:bCs/>
                            <w:lang w:eastAsia="tr-TR"/>
                          </w:rPr>
                          <w:t>(Ek:RG-18/12/2014-29209)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 16 ncı maddeye göre OSGB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Bu maddenin yürürlüğe girdiği tarihten önce 16 ncı madde hükümleri kapsamında yapılmış ve sonuçlandırılmamış OSGB ve TSMB başvurularında bu Yönetmelikte belirtilen şartlar aranır.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12 nci maddenin onuncu fıkrası kapsamındaki adres ve unvan değişikliği başvuruları ile 13 üncü maddenin yedinci fıkrasına göre sorumlu müdür değişikliği ile ilgili bildirimler, İSG-KATİP sistemindeki gerekli düzenlemeler tamamlanıp ilân edilinceye kadar Genel Müdürlüğe yazılı olarak yapılmaya devam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Yürürlük</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24 –</w:t>
                        </w:r>
                        <w:r w:rsidRPr="00611F9D">
                          <w:rPr>
                            <w:rFonts w:ascii="Calibri" w:eastAsia="Times New Roman" w:hAnsi="Calibri" w:cs="Calibri"/>
                            <w:lang w:eastAsia="tr-TR"/>
                          </w:rPr>
                          <w:t> (1) Bu Yönetmelik 30/12/2012 tarihinde yürürlüğe girer.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Yürütme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25 –</w:t>
                        </w:r>
                        <w:r w:rsidRPr="00611F9D">
                          <w:rPr>
                            <w:rFonts w:ascii="Calibri" w:eastAsia="Times New Roman" w:hAnsi="Calibri" w:cs="Calibri"/>
                            <w:lang w:eastAsia="tr-TR"/>
                          </w:rPr>
                          <w:t> (1) Bu Yönetmelik hükümlerini Çalışma ve Sosyal Güvenlik Bakanı yürütür.</w:t>
                        </w:r>
                      </w:p>
                      <w:p w:rsidR="00611F9D" w:rsidRPr="00611F9D" w:rsidRDefault="00611F9D" w:rsidP="00611F9D">
                        <w:pPr>
                          <w:spacing w:after="0" w:line="240" w:lineRule="auto"/>
                          <w:ind w:firstLine="567"/>
                          <w:rPr>
                            <w:rFonts w:ascii="Times New Roman" w:eastAsia="Times New Roman" w:hAnsi="Times New Roman" w:cs="Times New Roman"/>
                            <w:sz w:val="24"/>
                            <w:szCs w:val="24"/>
                            <w:lang w:eastAsia="tr-TR"/>
                          </w:rPr>
                        </w:pPr>
                        <w:r w:rsidRPr="00611F9D">
                          <w:rPr>
                            <w:rFonts w:ascii="Times New Roman" w:eastAsia="Times New Roman" w:hAnsi="Times New Roman" w:cs="Times New Roman"/>
                            <w:b/>
                            <w:bCs/>
                            <w:sz w:val="24"/>
                            <w:szCs w:val="24"/>
                            <w:lang w:eastAsia="tr-TR"/>
                          </w:rPr>
                          <w:t> </w:t>
                        </w:r>
                      </w:p>
                      <w:p w:rsidR="00611F9D" w:rsidRPr="00611F9D" w:rsidRDefault="00012E2A" w:rsidP="00611F9D">
                        <w:pPr>
                          <w:spacing w:after="0" w:line="240" w:lineRule="auto"/>
                          <w:ind w:firstLine="567"/>
                          <w:rPr>
                            <w:rFonts w:ascii="Times New Roman" w:eastAsia="Times New Roman" w:hAnsi="Times New Roman" w:cs="Times New Roman"/>
                            <w:sz w:val="24"/>
                            <w:szCs w:val="24"/>
                            <w:lang w:eastAsia="tr-TR"/>
                          </w:rPr>
                        </w:pPr>
                        <w:hyperlink r:id="rId19" w:history="1">
                          <w:r w:rsidR="00611F9D" w:rsidRPr="00611F9D">
                            <w:rPr>
                              <w:rFonts w:ascii="Lucida Sans Unicode" w:eastAsia="Times New Roman" w:hAnsi="Lucida Sans Unicode" w:cs="Lucida Sans Unicode"/>
                              <w:color w:val="000000"/>
                              <w:sz w:val="15"/>
                              <w:szCs w:val="15"/>
                              <w:lang w:eastAsia="tr-TR"/>
                            </w:rPr>
                            <w:t>Yönetmeliğin ekleri için tıklayınız</w:t>
                          </w:r>
                        </w:hyperlink>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____________</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vertAlign w:val="superscript"/>
                            <w:lang w:eastAsia="tr-TR"/>
                          </w:rPr>
                          <w:t>(1)</w:t>
                        </w:r>
                        <w:r w:rsidRPr="00611F9D">
                          <w:rPr>
                            <w:rFonts w:ascii="Calibri" w:eastAsia="Times New Roman" w:hAnsi="Calibri" w:cs="Calibri"/>
                            <w:lang w:eastAsia="tr-TR"/>
                          </w:rPr>
                          <w:t> </w:t>
                        </w:r>
                        <w:r w:rsidRPr="00611F9D">
                          <w:rPr>
                            <w:rFonts w:ascii="Calibri" w:eastAsia="Times New Roman" w:hAnsi="Calibri" w:cs="Calibri"/>
                            <w:i/>
                            <w:iCs/>
                            <w:sz w:val="20"/>
                            <w:szCs w:val="20"/>
                            <w:lang w:eastAsia="tr-TR"/>
                          </w:rPr>
                          <w:t>18/12/2014 tarihli ve 29209 sayılı Resmi Gazete’de Yayımlanan Yönetmelik değişikliği ile eklenen  Ek 1 inci maddesi yayımı tarihinden itibaren üç ay sonra yürürlüğe girer.</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611F9D" w:rsidRPr="00611F9D" w:rsidTr="00611F9D">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1F9D" w:rsidRPr="00611F9D" w:rsidRDefault="00611F9D" w:rsidP="00611F9D">
                              <w:pPr>
                                <w:spacing w:after="0" w:line="240" w:lineRule="auto"/>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Yönetmeliğin Yayımlandığı Resmî Gazete’nin</w:t>
                              </w:r>
                            </w:p>
                          </w:tc>
                        </w:tr>
                        <w:tr w:rsidR="00611F9D" w:rsidRPr="00611F9D" w:rsidTr="00611F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Sayısı</w:t>
                              </w:r>
                            </w:p>
                          </w:tc>
                        </w:tr>
                        <w:tr w:rsidR="00611F9D" w:rsidRPr="00611F9D" w:rsidTr="00611F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29/12/2012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28512</w:t>
                              </w:r>
                            </w:p>
                          </w:tc>
                        </w:tr>
                        <w:tr w:rsidR="00611F9D" w:rsidRPr="00611F9D" w:rsidTr="00611F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Yönetmelikte Değişiklik Yapan Yönetmeliklerin Yayımlandığı Resmî Gazetelerin</w:t>
                              </w:r>
                            </w:p>
                          </w:tc>
                        </w:tr>
                        <w:tr w:rsidR="00611F9D" w:rsidRPr="00611F9D" w:rsidTr="00611F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Sayısı</w:t>
                              </w:r>
                            </w:p>
                          </w:tc>
                        </w:tr>
                        <w:tr w:rsidR="00611F9D" w:rsidRPr="00611F9D" w:rsidTr="00611F9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F9D" w:rsidRPr="00611F9D" w:rsidRDefault="00611F9D" w:rsidP="00611F9D">
                              <w:pPr>
                                <w:spacing w:after="0" w:line="240" w:lineRule="auto"/>
                                <w:ind w:left="397" w:hanging="340"/>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w:t>
                              </w:r>
                              <w:r w:rsidRPr="00611F9D">
                                <w:rPr>
                                  <w:rFonts w:ascii="Times New Roman" w:eastAsia="Times New Roman" w:hAnsi="Times New Roman" w:cs="Times New Roman"/>
                                  <w:sz w:val="14"/>
                                  <w:szCs w:val="14"/>
                                  <w:lang w:eastAsia="tr-TR"/>
                                </w:rPr>
                                <w:t>      </w:t>
                              </w:r>
                              <w:r w:rsidRPr="00611F9D">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31/1/2013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28545</w:t>
                              </w:r>
                            </w:p>
                          </w:tc>
                        </w:tr>
                        <w:tr w:rsidR="00611F9D" w:rsidRPr="00611F9D" w:rsidTr="00611F9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F9D" w:rsidRPr="00611F9D" w:rsidRDefault="00611F9D" w:rsidP="00611F9D">
                              <w:pPr>
                                <w:spacing w:after="0" w:line="240" w:lineRule="auto"/>
                                <w:ind w:left="397" w:hanging="340"/>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w:t>
                              </w:r>
                              <w:r w:rsidRPr="00611F9D">
                                <w:rPr>
                                  <w:rFonts w:ascii="Times New Roman" w:eastAsia="Times New Roman" w:hAnsi="Times New Roman" w:cs="Times New Roman"/>
                                  <w:sz w:val="14"/>
                                  <w:szCs w:val="14"/>
                                  <w:lang w:eastAsia="tr-TR"/>
                                </w:rPr>
                                <w:t>      </w:t>
                              </w:r>
                              <w:r w:rsidRPr="00611F9D">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18/12/2014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29209</w:t>
                              </w:r>
                            </w:p>
                          </w:tc>
                        </w:tr>
                      </w:tbl>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jc w:val="right"/>
                          <w:rPr>
                            <w:rFonts w:ascii="Times New Roman" w:eastAsia="Times New Roman" w:hAnsi="Times New Roman" w:cs="Times New Roman"/>
                            <w:b/>
                            <w:bCs/>
                            <w:color w:val="808080"/>
                            <w:sz w:val="24"/>
                            <w:szCs w:val="24"/>
                            <w:lang w:eastAsia="tr-TR"/>
                          </w:rPr>
                        </w:pPr>
                        <w:r w:rsidRPr="00611F9D">
                          <w:rPr>
                            <w:rFonts w:ascii="Times New Roman" w:eastAsia="Times New Roman" w:hAnsi="Times New Roman" w:cs="Times New Roman"/>
                            <w:b/>
                            <w:bCs/>
                            <w:color w:val="808080"/>
                            <w:sz w:val="24"/>
                            <w:szCs w:val="24"/>
                            <w:lang w:eastAsia="tr-TR"/>
                          </w:rPr>
                          <w:t>Sayfa</w:t>
                        </w:r>
                      </w:p>
                    </w:tc>
                  </w:tr>
                </w:tbl>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p>
              </w:tc>
            </w:tr>
          </w:tbl>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r>
      <w:tr w:rsidR="00611F9D" w:rsidRPr="00611F9D" w:rsidTr="00611F9D">
        <w:tblPrEx>
          <w:shd w:val="clear" w:color="auto" w:fill="E6E6E6"/>
        </w:tblPrEx>
        <w:trPr>
          <w:gridAfter w:val="23"/>
          <w:wAfter w:w="14304" w:type="dxa"/>
          <w:tblCellSpacing w:w="0" w:type="dxa"/>
        </w:trPr>
        <w:tc>
          <w:tcPr>
            <w:tcW w:w="0" w:type="auto"/>
            <w:shd w:val="clear" w:color="auto" w:fill="E6E6E6"/>
            <w:vAlign w:val="center"/>
            <w:hideMark/>
          </w:tcPr>
          <w:p w:rsidR="00611F9D" w:rsidRPr="00611F9D" w:rsidRDefault="00611F9D" w:rsidP="00611F9D">
            <w:pPr>
              <w:shd w:val="clear" w:color="auto" w:fill="E6E6E6"/>
              <w:spacing w:after="0" w:line="300" w:lineRule="atLeast"/>
              <w:rPr>
                <w:rFonts w:ascii="Arial" w:eastAsia="Times New Roman" w:hAnsi="Arial" w:cs="Arial"/>
                <w:color w:val="1C283D"/>
                <w:sz w:val="15"/>
                <w:szCs w:val="15"/>
                <w:lang w:eastAsia="tr-TR"/>
              </w:rPr>
            </w:pPr>
          </w:p>
        </w:tc>
      </w:tr>
    </w:tbl>
    <w:p w:rsidR="00045049" w:rsidRDefault="00045049"/>
    <w:sectPr w:rsidR="00045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9D"/>
    <w:rsid w:val="00012E2A"/>
    <w:rsid w:val="00045049"/>
    <w:rsid w:val="00611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12E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2E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12E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2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513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093">
          <w:marLeft w:val="0"/>
          <w:marRight w:val="0"/>
          <w:marTop w:val="100"/>
          <w:marBottom w:val="100"/>
          <w:divBdr>
            <w:top w:val="none" w:sz="0" w:space="0" w:color="auto"/>
            <w:left w:val="none" w:sz="0" w:space="0" w:color="auto"/>
            <w:bottom w:val="none" w:sz="0" w:space="0" w:color="auto"/>
            <w:right w:val="none" w:sz="0" w:space="0" w:color="auto"/>
          </w:divBdr>
          <w:divsChild>
            <w:div w:id="1691832649">
              <w:marLeft w:val="0"/>
              <w:marRight w:val="0"/>
              <w:marTop w:val="0"/>
              <w:marBottom w:val="0"/>
              <w:divBdr>
                <w:top w:val="none" w:sz="0" w:space="0" w:color="auto"/>
                <w:left w:val="none" w:sz="0" w:space="0" w:color="auto"/>
                <w:bottom w:val="none" w:sz="0" w:space="0" w:color="auto"/>
                <w:right w:val="none" w:sz="0" w:space="0" w:color="auto"/>
              </w:divBdr>
              <w:divsChild>
                <w:div w:id="1374965117">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2072268341">
              <w:marLeft w:val="0"/>
              <w:marRight w:val="0"/>
              <w:marTop w:val="0"/>
              <w:marBottom w:val="0"/>
              <w:divBdr>
                <w:top w:val="none" w:sz="0" w:space="0" w:color="auto"/>
                <w:left w:val="none" w:sz="0" w:space="0" w:color="auto"/>
                <w:bottom w:val="none" w:sz="0" w:space="0" w:color="auto"/>
                <w:right w:val="none" w:sz="0" w:space="0" w:color="auto"/>
              </w:divBdr>
            </w:div>
            <w:div w:id="217061396">
              <w:marLeft w:val="0"/>
              <w:marRight w:val="0"/>
              <w:marTop w:val="0"/>
              <w:marBottom w:val="0"/>
              <w:divBdr>
                <w:top w:val="none" w:sz="0" w:space="0" w:color="auto"/>
                <w:left w:val="none" w:sz="0" w:space="0" w:color="auto"/>
                <w:bottom w:val="none" w:sz="0" w:space="0" w:color="auto"/>
                <w:right w:val="none" w:sz="0" w:space="0" w:color="auto"/>
              </w:divBdr>
              <w:divsChild>
                <w:div w:id="636841515">
                  <w:marLeft w:val="0"/>
                  <w:marRight w:val="0"/>
                  <w:marTop w:val="0"/>
                  <w:marBottom w:val="0"/>
                  <w:divBdr>
                    <w:top w:val="none" w:sz="0" w:space="0" w:color="auto"/>
                    <w:left w:val="none" w:sz="0" w:space="0" w:color="auto"/>
                    <w:bottom w:val="none" w:sz="0" w:space="0" w:color="auto"/>
                    <w:right w:val="none" w:sz="0" w:space="0" w:color="auto"/>
                  </w:divBdr>
                  <w:divsChild>
                    <w:div w:id="76095408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mevzuat.basbakanlik.gov.tr/Metin.Aspx?MevzuatKod=7.5.16924&amp;MevzuatIliski=0&amp;sourceXmlSearch=" TargetMode="External"/><Relationship Id="rId18" Type="http://schemas.openxmlformats.org/officeDocument/2006/relationships/image" Target="media/image4.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evzuat.basbakanlik.gov.tr/Metin.Aspx?MevzuatKod=7.5.16924&amp;MevzuatIliski=0&amp;sourceXmlSearch=#ctl00_Menu1_SkipLink" TargetMode="External"/><Relationship Id="rId12" Type="http://schemas.openxmlformats.org/officeDocument/2006/relationships/hyperlink" Target="javascript:var%20w=window.open('http://rega.basbakanlik.gov.tr/','_blank');" TargetMode="External"/><Relationship Id="rId17" Type="http://schemas.openxmlformats.org/officeDocument/2006/relationships/hyperlink" Target="http://mevzuat.basbakanlik.gov.tr/Iletisim.aspx" TargetMode="External"/><Relationship Id="rId2" Type="http://schemas.microsoft.com/office/2007/relationships/stylesWithEffects" Target="stylesWithEffects.xml"/><Relationship Id="rId16" Type="http://schemas.openxmlformats.org/officeDocument/2006/relationships/hyperlink" Target="http://mevzuat.basbakanlik.gov.tr/Metin.Aspx?MevzuatKod=7.5.16924&amp;MevzuatIliski=0&amp;sourceXmlSearc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evzuat.basbakanlik.gov.tr/Login.aspx" TargetMode="External"/><Relationship Id="rId11" Type="http://schemas.openxmlformats.org/officeDocument/2006/relationships/image" Target="media/image3.gif"/><Relationship Id="rId5" Type="http://schemas.openxmlformats.org/officeDocument/2006/relationships/image" Target="media/image1.png"/><Relationship Id="rId15" Type="http://schemas.openxmlformats.org/officeDocument/2006/relationships/hyperlink" Target="http://mevzuat.basbakanlik.gov.tr/Metin.Aspx?MevzuatKod=7.5.16924&amp;MevzuatIliski=0&amp;sourceXmlSearch=" TargetMode="External"/><Relationship Id="rId10" Type="http://schemas.openxmlformats.org/officeDocument/2006/relationships/hyperlink" Target="http://mevzuat.basbakanlik.gov.tr/Metin.Aspx?MevzuatKod=7.5.16924&amp;MevzuatIliski=0&amp;sourceXmlSearch=" TargetMode="External"/><Relationship Id="rId19" Type="http://schemas.openxmlformats.org/officeDocument/2006/relationships/hyperlink" Target="http://www.mevzuat.gov.tr/MevzuatMetin/yonetmelik/7.5.16924-ek.docx" TargetMode="External"/><Relationship Id="rId4" Type="http://schemas.openxmlformats.org/officeDocument/2006/relationships/webSettings" Target="webSettings.xml"/><Relationship Id="rId9" Type="http://schemas.openxmlformats.org/officeDocument/2006/relationships/hyperlink" Target="http://mevzuat.basbakanlik.gov.tr/Default.aspx" TargetMode="External"/><Relationship Id="rId14" Type="http://schemas.openxmlformats.org/officeDocument/2006/relationships/hyperlink" Target="http://mevzuat.basbakanlik.gov.tr/p_KulliyatFihrist.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6256</Words>
  <Characters>35664</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Hasanalkan</cp:lastModifiedBy>
  <cp:revision>2</cp:revision>
  <dcterms:created xsi:type="dcterms:W3CDTF">2015-12-21T08:31:00Z</dcterms:created>
  <dcterms:modified xsi:type="dcterms:W3CDTF">2015-12-21T08:31:00Z</dcterms:modified>
</cp:coreProperties>
</file>